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2097746"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7F77B5">
        <w:rPr>
          <w:rFonts w:ascii="楷体" w:eastAsia="楷体" w:hAnsi="楷体" w:hint="eastAsia"/>
          <w:sz w:val="28"/>
          <w:szCs w:val="28"/>
        </w:rPr>
        <w:t>信用风险偏好收缩</w:t>
      </w:r>
      <w:r w:rsidR="00705D32">
        <w:rPr>
          <w:rFonts w:ascii="楷体" w:eastAsia="楷体" w:hAnsi="楷体" w:hint="eastAsia"/>
          <w:sz w:val="28"/>
          <w:szCs w:val="28"/>
        </w:rPr>
        <w:t>，</w:t>
      </w:r>
      <w:r w:rsidR="007F77B5">
        <w:rPr>
          <w:rFonts w:ascii="楷体" w:eastAsia="楷体" w:hAnsi="楷体" w:hint="eastAsia"/>
          <w:sz w:val="28"/>
          <w:szCs w:val="28"/>
        </w:rPr>
        <w:t>债市面临重定价</w:t>
      </w:r>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DA527AB" w14:textId="7E3BC242" w:rsidR="00335516" w:rsidRDefault="000D6289"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2月4日D</w:t>
      </w:r>
      <w:r>
        <w:rPr>
          <w:rFonts w:ascii="华文楷体" w:hAnsi="华文楷体"/>
          <w:b w:val="0"/>
          <w:bCs/>
          <w:smallCaps w:val="0"/>
          <w:color w:val="auto"/>
          <w:sz w:val="24"/>
          <w:szCs w:val="24"/>
        </w:rPr>
        <w:t>R007</w:t>
      </w:r>
      <w:r>
        <w:rPr>
          <w:rFonts w:ascii="华文楷体" w:hAnsi="华文楷体" w:hint="eastAsia"/>
          <w:b w:val="0"/>
          <w:bCs/>
          <w:smallCaps w:val="0"/>
          <w:color w:val="auto"/>
          <w:sz w:val="24"/>
          <w:szCs w:val="24"/>
        </w:rPr>
        <w:t>开盘报价上调，市场预期央行</w:t>
      </w:r>
      <w:r w:rsidR="00AA3A6B">
        <w:rPr>
          <w:rFonts w:ascii="华文楷体" w:hAnsi="华文楷体" w:hint="eastAsia"/>
          <w:b w:val="0"/>
          <w:bCs/>
          <w:smallCaps w:val="0"/>
          <w:color w:val="auto"/>
          <w:sz w:val="24"/>
          <w:szCs w:val="24"/>
        </w:rPr>
        <w:t>货币政策态度维持相对中性，对短期套利盘和近期相对表现较强的权益、固收市</w:t>
      </w:r>
      <w:proofErr w:type="gramStart"/>
      <w:r w:rsidR="00AA3A6B">
        <w:rPr>
          <w:rFonts w:ascii="华文楷体" w:hAnsi="华文楷体" w:hint="eastAsia"/>
          <w:b w:val="0"/>
          <w:bCs/>
          <w:smallCaps w:val="0"/>
          <w:color w:val="auto"/>
          <w:sz w:val="24"/>
          <w:szCs w:val="24"/>
        </w:rPr>
        <w:t>场持续</w:t>
      </w:r>
      <w:proofErr w:type="gramEnd"/>
      <w:r w:rsidR="00AA3A6B">
        <w:rPr>
          <w:rFonts w:ascii="华文楷体" w:hAnsi="华文楷体" w:hint="eastAsia"/>
          <w:b w:val="0"/>
          <w:bCs/>
          <w:smallCaps w:val="0"/>
          <w:color w:val="auto"/>
          <w:sz w:val="24"/>
          <w:szCs w:val="24"/>
        </w:rPr>
        <w:t>带来一定冲击。相对2</w:t>
      </w:r>
      <w:r w:rsidR="00AA3A6B">
        <w:rPr>
          <w:rFonts w:ascii="华文楷体" w:hAnsi="华文楷体"/>
          <w:b w:val="0"/>
          <w:bCs/>
          <w:smallCaps w:val="0"/>
          <w:color w:val="auto"/>
          <w:sz w:val="24"/>
          <w:szCs w:val="24"/>
        </w:rPr>
        <w:t>020</w:t>
      </w:r>
      <w:r w:rsidR="00AA3A6B">
        <w:rPr>
          <w:rFonts w:ascii="华文楷体" w:hAnsi="华文楷体" w:hint="eastAsia"/>
          <w:b w:val="0"/>
          <w:bCs/>
          <w:smallCaps w:val="0"/>
          <w:color w:val="auto"/>
          <w:sz w:val="24"/>
          <w:szCs w:val="24"/>
        </w:rPr>
        <w:t>年来看，流动性政策最宽松的时刻基本已经过去。</w:t>
      </w:r>
    </w:p>
    <w:p w14:paraId="5598672B" w14:textId="708E53F7" w:rsidR="00AA3A6B" w:rsidRDefault="00AA3A6B" w:rsidP="00A41BA7">
      <w:pPr>
        <w:pStyle w:val="Header1"/>
        <w:spacing w:before="240"/>
        <w:ind w:firstLine="480"/>
        <w:rPr>
          <w:rFonts w:ascii="华文楷体" w:hAnsi="华文楷体"/>
          <w:b w:val="0"/>
          <w:bCs/>
          <w:smallCaps w:val="0"/>
          <w:color w:val="auto"/>
          <w:sz w:val="24"/>
          <w:szCs w:val="24"/>
        </w:rPr>
      </w:pPr>
      <w:r w:rsidRPr="00AA3A6B">
        <w:rPr>
          <w:rFonts w:ascii="华文楷体" w:hAnsi="华文楷体" w:hint="eastAsia"/>
          <w:b w:val="0"/>
          <w:bCs/>
          <w:smallCaps w:val="0"/>
          <w:color w:val="auto"/>
          <w:sz w:val="24"/>
          <w:szCs w:val="24"/>
        </w:rPr>
        <w:t>2月4号，DR007开盘报价上行12BP至2.32%，是在逆回购操作利率未调整的情况之下的上调</w:t>
      </w:r>
      <w:r>
        <w:rPr>
          <w:rFonts w:ascii="华文楷体" w:hAnsi="华文楷体" w:hint="eastAsia"/>
          <w:b w:val="0"/>
          <w:bCs/>
          <w:smallCaps w:val="0"/>
          <w:color w:val="auto"/>
          <w:sz w:val="24"/>
          <w:szCs w:val="24"/>
        </w:rPr>
        <w:t>。</w:t>
      </w:r>
      <w:r w:rsidR="00D7789A">
        <w:rPr>
          <w:rFonts w:ascii="华文楷体" w:hAnsi="华文楷体" w:hint="eastAsia"/>
          <w:b w:val="0"/>
          <w:bCs/>
          <w:smallCaps w:val="0"/>
          <w:color w:val="auto"/>
          <w:sz w:val="24"/>
          <w:szCs w:val="24"/>
        </w:rPr>
        <w:t>之</w:t>
      </w:r>
      <w:r>
        <w:rPr>
          <w:rFonts w:ascii="华文楷体" w:hAnsi="华文楷体" w:hint="eastAsia"/>
          <w:b w:val="0"/>
          <w:bCs/>
          <w:smallCaps w:val="0"/>
          <w:color w:val="auto"/>
          <w:sz w:val="24"/>
          <w:szCs w:val="24"/>
        </w:rPr>
        <w:t>后逐日下调，从</w:t>
      </w:r>
      <w:r w:rsidRPr="00AA3A6B">
        <w:rPr>
          <w:rFonts w:ascii="华文楷体" w:hAnsi="华文楷体" w:hint="eastAsia"/>
          <w:b w:val="0"/>
          <w:bCs/>
          <w:smallCaps w:val="0"/>
          <w:color w:val="auto"/>
          <w:sz w:val="24"/>
          <w:szCs w:val="24"/>
        </w:rPr>
        <w:t>2.32%</w:t>
      </w:r>
      <w:r>
        <w:rPr>
          <w:rFonts w:ascii="华文楷体" w:hAnsi="华文楷体" w:hint="eastAsia"/>
          <w:b w:val="0"/>
          <w:bCs/>
          <w:smallCaps w:val="0"/>
          <w:color w:val="auto"/>
          <w:sz w:val="24"/>
          <w:szCs w:val="24"/>
        </w:rPr>
        <w:t>、</w:t>
      </w:r>
      <w:r w:rsidRPr="00AA3A6B">
        <w:rPr>
          <w:rFonts w:ascii="华文楷体" w:hAnsi="华文楷体" w:hint="eastAsia"/>
          <w:b w:val="0"/>
          <w:bCs/>
          <w:smallCaps w:val="0"/>
          <w:color w:val="auto"/>
          <w:sz w:val="24"/>
          <w:szCs w:val="24"/>
        </w:rPr>
        <w:t>2.3%</w:t>
      </w:r>
      <w:r>
        <w:rPr>
          <w:rFonts w:ascii="华文楷体" w:hAnsi="华文楷体" w:hint="eastAsia"/>
          <w:b w:val="0"/>
          <w:bCs/>
          <w:smallCaps w:val="0"/>
          <w:color w:val="auto"/>
          <w:sz w:val="24"/>
          <w:szCs w:val="24"/>
        </w:rPr>
        <w:t>、</w:t>
      </w:r>
      <w:r w:rsidRPr="00AA3A6B">
        <w:rPr>
          <w:rFonts w:ascii="华文楷体" w:hAnsi="华文楷体" w:hint="eastAsia"/>
          <w:b w:val="0"/>
          <w:bCs/>
          <w:smallCaps w:val="0"/>
          <w:color w:val="auto"/>
          <w:sz w:val="24"/>
          <w:szCs w:val="24"/>
        </w:rPr>
        <w:t>2.26%</w:t>
      </w:r>
      <w:r>
        <w:rPr>
          <w:rFonts w:ascii="华文楷体" w:hAnsi="华文楷体" w:hint="eastAsia"/>
          <w:b w:val="0"/>
          <w:bCs/>
          <w:smallCaps w:val="0"/>
          <w:color w:val="auto"/>
          <w:sz w:val="24"/>
          <w:szCs w:val="24"/>
        </w:rPr>
        <w:t>直至</w:t>
      </w:r>
      <w:r w:rsidRPr="00AA3A6B">
        <w:rPr>
          <w:rFonts w:ascii="华文楷体" w:hAnsi="华文楷体" w:hint="eastAsia"/>
          <w:b w:val="0"/>
          <w:bCs/>
          <w:smallCaps w:val="0"/>
          <w:color w:val="auto"/>
          <w:sz w:val="24"/>
          <w:szCs w:val="24"/>
        </w:rPr>
        <w:t>2.24%</w:t>
      </w:r>
      <w:r>
        <w:rPr>
          <w:rFonts w:ascii="华文楷体" w:hAnsi="华文楷体" w:hint="eastAsia"/>
          <w:b w:val="0"/>
          <w:bCs/>
          <w:smallCaps w:val="0"/>
          <w:color w:val="auto"/>
          <w:sz w:val="24"/>
          <w:szCs w:val="24"/>
        </w:rPr>
        <w:t>逐步回归，但市场对后续货币政策预期已发生方向性调整，央行主动控制套利投机意向较明显，叠加房地产热度持续较高，今年货币政策相对去年关注焦点会更倾向于币值稳定、流动性合理适度。</w:t>
      </w:r>
    </w:p>
    <w:p w14:paraId="7934463B" w14:textId="0507E515" w:rsidR="007F045E" w:rsidRDefault="00AA3A6B" w:rsidP="00525B9E">
      <w:pPr>
        <w:pStyle w:val="Header1"/>
        <w:spacing w:before="240"/>
        <w:ind w:firstLine="480"/>
        <w:rPr>
          <w:rFonts w:ascii="华文楷体" w:hAnsi="华文楷体"/>
          <w:b w:val="0"/>
          <w:bCs/>
          <w:smallCaps w:val="0"/>
          <w:color w:val="auto"/>
          <w:sz w:val="24"/>
          <w:szCs w:val="24"/>
        </w:rPr>
      </w:pPr>
      <w:r w:rsidRPr="00AA3A6B">
        <w:rPr>
          <w:rFonts w:ascii="华文楷体" w:hAnsi="华文楷体" w:hint="eastAsia"/>
          <w:b w:val="0"/>
          <w:bCs/>
          <w:smallCaps w:val="0"/>
          <w:color w:val="auto"/>
          <w:sz w:val="24"/>
          <w:szCs w:val="24"/>
        </w:rPr>
        <w:t>从后续政策来看，需要关注后续信贷表现现象，关注货币政策预期管理和房地产调控的互动。1月主要城市房地产销售增速大幅上行，</w:t>
      </w:r>
      <w:r>
        <w:rPr>
          <w:rFonts w:ascii="华文楷体" w:hAnsi="华文楷体" w:hint="eastAsia"/>
          <w:b w:val="0"/>
          <w:bCs/>
          <w:smallCaps w:val="0"/>
          <w:color w:val="auto"/>
          <w:sz w:val="24"/>
          <w:szCs w:val="24"/>
        </w:rPr>
        <w:t>一季度</w:t>
      </w:r>
      <w:r w:rsidRPr="00AA3A6B">
        <w:rPr>
          <w:rFonts w:ascii="华文楷体" w:hAnsi="华文楷体" w:hint="eastAsia"/>
          <w:b w:val="0"/>
          <w:bCs/>
          <w:smallCaps w:val="0"/>
          <w:color w:val="auto"/>
          <w:sz w:val="24"/>
          <w:szCs w:val="24"/>
        </w:rPr>
        <w:t>房地产相关贷款增速</w:t>
      </w:r>
      <w:r>
        <w:rPr>
          <w:rFonts w:ascii="华文楷体" w:hAnsi="华文楷体" w:hint="eastAsia"/>
          <w:b w:val="0"/>
          <w:bCs/>
          <w:smallCaps w:val="0"/>
          <w:color w:val="auto"/>
          <w:sz w:val="24"/>
          <w:szCs w:val="24"/>
        </w:rPr>
        <w:t>预计表现强劲</w:t>
      </w:r>
      <w:r w:rsidRPr="00AA3A6B">
        <w:rPr>
          <w:rFonts w:ascii="华文楷体" w:hAnsi="华文楷体" w:hint="eastAsia"/>
          <w:b w:val="0"/>
          <w:bCs/>
          <w:smallCaps w:val="0"/>
          <w:color w:val="auto"/>
          <w:sz w:val="24"/>
          <w:szCs w:val="24"/>
        </w:rPr>
        <w:t>，结构性的信贷</w:t>
      </w:r>
      <w:r>
        <w:rPr>
          <w:rFonts w:ascii="华文楷体" w:hAnsi="华文楷体" w:hint="eastAsia"/>
          <w:b w:val="0"/>
          <w:bCs/>
          <w:smallCaps w:val="0"/>
          <w:color w:val="auto"/>
          <w:sz w:val="24"/>
          <w:szCs w:val="24"/>
        </w:rPr>
        <w:t>表现可能</w:t>
      </w:r>
      <w:r w:rsidRPr="00AA3A6B">
        <w:rPr>
          <w:rFonts w:ascii="华文楷体" w:hAnsi="华文楷体" w:hint="eastAsia"/>
          <w:b w:val="0"/>
          <w:bCs/>
          <w:smallCaps w:val="0"/>
          <w:color w:val="auto"/>
          <w:sz w:val="24"/>
          <w:szCs w:val="24"/>
        </w:rPr>
        <w:t>过热，</w:t>
      </w:r>
      <w:r>
        <w:rPr>
          <w:rFonts w:ascii="华文楷体" w:hAnsi="华文楷体" w:hint="eastAsia"/>
          <w:b w:val="0"/>
          <w:bCs/>
          <w:smallCaps w:val="0"/>
          <w:color w:val="auto"/>
          <w:sz w:val="24"/>
          <w:szCs w:val="24"/>
        </w:rPr>
        <w:t>这可能是中期影响央行货币政策节奏的主要因素</w:t>
      </w:r>
      <w:r w:rsidRPr="00AA3A6B">
        <w:rPr>
          <w:rFonts w:ascii="华文楷体" w:hAnsi="华文楷体" w:hint="eastAsia"/>
          <w:b w:val="0"/>
          <w:bCs/>
          <w:smallCaps w:val="0"/>
          <w:color w:val="auto"/>
          <w:sz w:val="24"/>
          <w:szCs w:val="24"/>
        </w:rPr>
        <w:t>。若以房地产调控为预期管理</w:t>
      </w:r>
      <w:r w:rsidR="007F045E">
        <w:rPr>
          <w:rFonts w:ascii="华文楷体" w:hAnsi="华文楷体" w:hint="eastAsia"/>
          <w:b w:val="0"/>
          <w:bCs/>
          <w:smallCaps w:val="0"/>
          <w:color w:val="auto"/>
          <w:sz w:val="24"/>
          <w:szCs w:val="24"/>
        </w:rPr>
        <w:t>要素之一</w:t>
      </w:r>
      <w:r w:rsidRPr="00AA3A6B">
        <w:rPr>
          <w:rFonts w:ascii="华文楷体" w:hAnsi="华文楷体" w:hint="eastAsia"/>
          <w:b w:val="0"/>
          <w:bCs/>
          <w:smallCaps w:val="0"/>
          <w:color w:val="auto"/>
          <w:sz w:val="24"/>
          <w:szCs w:val="24"/>
        </w:rPr>
        <w:t>，意味着</w:t>
      </w:r>
      <w:r w:rsidR="007F045E">
        <w:rPr>
          <w:rFonts w:ascii="华文楷体" w:hAnsi="华文楷体" w:hint="eastAsia"/>
          <w:b w:val="0"/>
          <w:bCs/>
          <w:smallCaps w:val="0"/>
          <w:color w:val="auto"/>
          <w:sz w:val="24"/>
          <w:szCs w:val="24"/>
        </w:rPr>
        <w:t>对</w:t>
      </w:r>
      <w:r w:rsidRPr="00AA3A6B">
        <w:rPr>
          <w:rFonts w:ascii="华文楷体" w:hAnsi="华文楷体" w:hint="eastAsia"/>
          <w:b w:val="0"/>
          <w:bCs/>
          <w:smallCaps w:val="0"/>
          <w:color w:val="auto"/>
          <w:sz w:val="24"/>
          <w:szCs w:val="24"/>
        </w:rPr>
        <w:t>政策收紧的时间和幅度</w:t>
      </w:r>
      <w:r w:rsidR="007F045E">
        <w:rPr>
          <w:rFonts w:ascii="华文楷体" w:hAnsi="华文楷体" w:hint="eastAsia"/>
          <w:b w:val="0"/>
          <w:bCs/>
          <w:smallCaps w:val="0"/>
          <w:color w:val="auto"/>
          <w:sz w:val="24"/>
          <w:szCs w:val="24"/>
        </w:rPr>
        <w:t>需谨慎，政策可能并非短期行为或仅</w:t>
      </w:r>
      <w:r w:rsidRPr="00AA3A6B">
        <w:rPr>
          <w:rFonts w:ascii="华文楷体" w:hAnsi="华文楷体" w:hint="eastAsia"/>
          <w:b w:val="0"/>
          <w:bCs/>
          <w:smallCaps w:val="0"/>
          <w:color w:val="auto"/>
          <w:sz w:val="24"/>
          <w:szCs w:val="24"/>
        </w:rPr>
        <w:t>局限于逆转金融市场的过度宽松预期</w:t>
      </w:r>
      <w:r w:rsidR="007F045E">
        <w:rPr>
          <w:rFonts w:ascii="华文楷体" w:hAnsi="华文楷体" w:hint="eastAsia"/>
          <w:b w:val="0"/>
          <w:bCs/>
          <w:smallCaps w:val="0"/>
          <w:color w:val="auto"/>
          <w:sz w:val="24"/>
          <w:szCs w:val="24"/>
        </w:rPr>
        <w:t>行为</w:t>
      </w:r>
      <w:r w:rsidRPr="00AA3A6B">
        <w:rPr>
          <w:rFonts w:ascii="华文楷体" w:hAnsi="华文楷体" w:hint="eastAsia"/>
          <w:b w:val="0"/>
          <w:bCs/>
          <w:smallCaps w:val="0"/>
          <w:color w:val="auto"/>
          <w:sz w:val="24"/>
          <w:szCs w:val="24"/>
        </w:rPr>
        <w:t>，政策收紧</w:t>
      </w:r>
      <w:r w:rsidR="005F3D18">
        <w:rPr>
          <w:rFonts w:ascii="华文楷体" w:hAnsi="华文楷体" w:hint="eastAsia"/>
          <w:b w:val="0"/>
          <w:bCs/>
          <w:smallCaps w:val="0"/>
          <w:color w:val="auto"/>
          <w:sz w:val="24"/>
          <w:szCs w:val="24"/>
        </w:rPr>
        <w:t>的节奏可能与市场预期存在一定时间差</w:t>
      </w:r>
      <w:r w:rsidR="007F045E">
        <w:rPr>
          <w:rFonts w:ascii="华文楷体" w:hAnsi="华文楷体" w:hint="eastAsia"/>
          <w:b w:val="0"/>
          <w:bCs/>
          <w:smallCaps w:val="0"/>
          <w:color w:val="auto"/>
          <w:sz w:val="24"/>
          <w:szCs w:val="24"/>
        </w:rPr>
        <w:t>。</w:t>
      </w:r>
    </w:p>
    <w:p w14:paraId="6E5970EE" w14:textId="71E727E0" w:rsidR="001647E6" w:rsidRPr="001647E6" w:rsidRDefault="007F045E"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阶段性看，尤其是回顾央行今年以来的相关操作表现，预计后续价格利率适度提高，打压过热的套利投机行为，同时与地产政策相关的供给和需求多维度的调控政策压力持续，从疫情后逆周期调节角度出发，对地产、宏观杠杆率、通胀等方面的关注度将明显高于去年。</w:t>
      </w:r>
    </w:p>
    <w:p w14:paraId="7F65CE83" w14:textId="22FDEEFA" w:rsidR="00091559" w:rsidRDefault="007F045E" w:rsidP="00525B9E">
      <w:pPr>
        <w:pStyle w:val="Header1"/>
        <w:spacing w:before="240"/>
        <w:ind w:firstLine="480"/>
        <w:rPr>
          <w:rFonts w:ascii="华文楷体" w:hAnsi="华文楷体"/>
          <w:b w:val="0"/>
          <w:bCs/>
          <w:smallCaps w:val="0"/>
          <w:color w:val="auto"/>
          <w:sz w:val="24"/>
          <w:szCs w:val="24"/>
        </w:rPr>
      </w:pPr>
      <w:r w:rsidRPr="007F045E">
        <w:rPr>
          <w:rFonts w:ascii="华文楷体" w:hAnsi="华文楷体" w:hint="eastAsia"/>
          <w:b w:val="0"/>
          <w:bCs/>
          <w:smallCaps w:val="0"/>
          <w:color w:val="auto"/>
          <w:sz w:val="24"/>
          <w:szCs w:val="24"/>
        </w:rPr>
        <w:t>具体到</w:t>
      </w:r>
      <w:r>
        <w:rPr>
          <w:rFonts w:ascii="华文楷体" w:hAnsi="华文楷体" w:hint="eastAsia"/>
          <w:b w:val="0"/>
          <w:bCs/>
          <w:smallCaps w:val="0"/>
          <w:color w:val="auto"/>
          <w:sz w:val="24"/>
          <w:szCs w:val="24"/>
        </w:rPr>
        <w:t>市场表现</w:t>
      </w:r>
      <w:r w:rsidRPr="007F045E">
        <w:rPr>
          <w:rFonts w:ascii="华文楷体" w:hAnsi="华文楷体" w:hint="eastAsia"/>
          <w:b w:val="0"/>
          <w:bCs/>
          <w:smallCaps w:val="0"/>
          <w:color w:val="auto"/>
          <w:sz w:val="24"/>
          <w:szCs w:val="24"/>
        </w:rPr>
        <w:t>上，预计资金价格中枢回到</w:t>
      </w:r>
      <w:r>
        <w:rPr>
          <w:rFonts w:ascii="华文楷体" w:hAnsi="华文楷体" w:hint="eastAsia"/>
          <w:b w:val="0"/>
          <w:bCs/>
          <w:smallCaps w:val="0"/>
          <w:color w:val="auto"/>
          <w:sz w:val="24"/>
          <w:szCs w:val="24"/>
        </w:rPr>
        <w:t>1</w:t>
      </w:r>
      <w:r>
        <w:rPr>
          <w:rFonts w:ascii="华文楷体" w:hAnsi="华文楷体"/>
          <w:b w:val="0"/>
          <w:bCs/>
          <w:smallCaps w:val="0"/>
          <w:color w:val="auto"/>
          <w:sz w:val="24"/>
          <w:szCs w:val="24"/>
        </w:rPr>
        <w:t>.5</w:t>
      </w:r>
      <w:r>
        <w:rPr>
          <w:rFonts w:ascii="华文楷体" w:hAnsi="华文楷体" w:hint="eastAsia"/>
          <w:b w:val="0"/>
          <w:bCs/>
          <w:smallCaps w:val="0"/>
          <w:color w:val="auto"/>
          <w:sz w:val="24"/>
          <w:szCs w:val="24"/>
        </w:rPr>
        <w:t>-</w:t>
      </w:r>
      <w:r w:rsidRPr="007F045E">
        <w:rPr>
          <w:rFonts w:ascii="华文楷体" w:hAnsi="华文楷体" w:hint="eastAsia"/>
          <w:b w:val="0"/>
          <w:bCs/>
          <w:smallCaps w:val="0"/>
          <w:color w:val="auto"/>
          <w:sz w:val="24"/>
          <w:szCs w:val="24"/>
        </w:rPr>
        <w:t>2.2</w:t>
      </w:r>
      <w:r>
        <w:rPr>
          <w:rFonts w:ascii="华文楷体" w:hAnsi="华文楷体" w:hint="eastAsia"/>
          <w:b w:val="0"/>
          <w:bCs/>
          <w:smallCaps w:val="0"/>
          <w:color w:val="auto"/>
          <w:sz w:val="24"/>
          <w:szCs w:val="24"/>
        </w:rPr>
        <w:t>%，</w:t>
      </w:r>
      <w:r w:rsidRPr="007F045E">
        <w:rPr>
          <w:rFonts w:ascii="华文楷体" w:hAnsi="华文楷体" w:hint="eastAsia"/>
          <w:b w:val="0"/>
          <w:bCs/>
          <w:smallCaps w:val="0"/>
          <w:color w:val="auto"/>
          <w:sz w:val="24"/>
          <w:szCs w:val="24"/>
        </w:rPr>
        <w:t>波动中枢</w:t>
      </w:r>
      <w:r>
        <w:rPr>
          <w:rFonts w:ascii="华文楷体" w:hAnsi="华文楷体" w:hint="eastAsia"/>
          <w:b w:val="0"/>
          <w:bCs/>
          <w:smallCaps w:val="0"/>
          <w:color w:val="auto"/>
          <w:sz w:val="24"/>
          <w:szCs w:val="24"/>
        </w:rPr>
        <w:t>围绕在</w:t>
      </w:r>
      <w:r w:rsidRPr="007F045E">
        <w:rPr>
          <w:rFonts w:ascii="华文楷体" w:hAnsi="华文楷体" w:hint="eastAsia"/>
          <w:b w:val="0"/>
          <w:bCs/>
          <w:smallCaps w:val="0"/>
          <w:color w:val="auto"/>
          <w:sz w:val="24"/>
          <w:szCs w:val="24"/>
        </w:rPr>
        <w:t>政策利率</w:t>
      </w:r>
      <w:r>
        <w:rPr>
          <w:rFonts w:ascii="华文楷体" w:hAnsi="华文楷体" w:hint="eastAsia"/>
          <w:b w:val="0"/>
          <w:bCs/>
          <w:smallCaps w:val="0"/>
          <w:color w:val="auto"/>
          <w:sz w:val="24"/>
          <w:szCs w:val="24"/>
        </w:rPr>
        <w:t>上下，短期内供给压力有限，关注3月份财政供给定调。宏观数据上，原油品种近期表现较强，海外修复相对国内修复，边际动力逐步增强，并可能对国内大宗商品表现带来一定拉动作用，P</w:t>
      </w:r>
      <w:r>
        <w:rPr>
          <w:rFonts w:ascii="华文楷体" w:hAnsi="华文楷体"/>
          <w:b w:val="0"/>
          <w:bCs/>
          <w:smallCaps w:val="0"/>
          <w:color w:val="auto"/>
          <w:sz w:val="24"/>
          <w:szCs w:val="24"/>
        </w:rPr>
        <w:t>PI</w:t>
      </w:r>
      <w:r>
        <w:rPr>
          <w:rFonts w:ascii="华文楷体" w:hAnsi="华文楷体" w:hint="eastAsia"/>
          <w:b w:val="0"/>
          <w:bCs/>
          <w:smallCaps w:val="0"/>
          <w:color w:val="auto"/>
          <w:sz w:val="24"/>
          <w:szCs w:val="24"/>
        </w:rPr>
        <w:t>后续持续修复预期将逐步走强，对中长端债市表现可能产生一定压制。</w:t>
      </w:r>
    </w:p>
    <w:p w14:paraId="02C5A3D2" w14:textId="3466BA6B" w:rsidR="007F045E" w:rsidRDefault="007F045E"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策略上，仍坚持以防御性策略为主，短期内期限利差可能适度走阔，相对利率债高等级信用债票息策略可能稳定性更强，信用资质不宜下沉，关注负债稳定性，适度杠杆配合</w:t>
      </w:r>
      <w:proofErr w:type="gramStart"/>
      <w:r>
        <w:rPr>
          <w:rFonts w:ascii="华文楷体" w:hAnsi="华文楷体" w:hint="eastAsia"/>
          <w:b w:val="0"/>
          <w:bCs/>
          <w:smallCaps w:val="0"/>
          <w:color w:val="auto"/>
          <w:sz w:val="24"/>
          <w:szCs w:val="24"/>
        </w:rPr>
        <w:t>中久期的</w:t>
      </w:r>
      <w:proofErr w:type="gramEnd"/>
      <w:r>
        <w:rPr>
          <w:rFonts w:ascii="华文楷体" w:hAnsi="华文楷体" w:hint="eastAsia"/>
          <w:b w:val="0"/>
          <w:bCs/>
          <w:smallCaps w:val="0"/>
          <w:color w:val="auto"/>
          <w:sz w:val="24"/>
          <w:szCs w:val="24"/>
        </w:rPr>
        <w:t>组合安排相对更稳健，</w:t>
      </w:r>
      <w:proofErr w:type="gramStart"/>
      <w:r>
        <w:rPr>
          <w:rFonts w:ascii="华文楷体" w:hAnsi="华文楷体" w:hint="eastAsia"/>
          <w:b w:val="0"/>
          <w:bCs/>
          <w:smallCaps w:val="0"/>
          <w:color w:val="auto"/>
          <w:sz w:val="24"/>
          <w:szCs w:val="24"/>
        </w:rPr>
        <w:t>利率债仍有</w:t>
      </w:r>
      <w:proofErr w:type="gramEnd"/>
      <w:r>
        <w:rPr>
          <w:rFonts w:ascii="华文楷体" w:hAnsi="华文楷体" w:hint="eastAsia"/>
          <w:b w:val="0"/>
          <w:bCs/>
          <w:smallCaps w:val="0"/>
          <w:color w:val="auto"/>
          <w:sz w:val="24"/>
          <w:szCs w:val="24"/>
        </w:rPr>
        <w:t>波段交易机会存在，尤其是当前市场情绪仍相对较敏感，极端事件刺激下，关注一些过度偏离价格中枢的博弈机会。</w:t>
      </w:r>
    </w:p>
    <w:p w14:paraId="7672B676" w14:textId="77777777" w:rsidR="007F045E" w:rsidRDefault="007F045E" w:rsidP="00525B9E">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F380EC3"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B81E73">
        <w:rPr>
          <w:rFonts w:ascii="华文楷体" w:hAnsi="华文楷体" w:hint="eastAsia"/>
          <w:sz w:val="24"/>
          <w:szCs w:val="24"/>
          <w:lang w:eastAsia="zh-CN"/>
        </w:rPr>
        <w:t>及M</w:t>
      </w:r>
      <w:r w:rsidR="00B81E73">
        <w:rPr>
          <w:rFonts w:ascii="华文楷体" w:hAnsi="华文楷体"/>
          <w:sz w:val="24"/>
          <w:szCs w:val="24"/>
          <w:lang w:eastAsia="zh-CN"/>
        </w:rPr>
        <w:t>LF</w:t>
      </w:r>
      <w:r w:rsidR="00B81E73">
        <w:rPr>
          <w:rFonts w:ascii="华文楷体" w:hAnsi="华文楷体" w:hint="eastAsia"/>
          <w:sz w:val="24"/>
          <w:szCs w:val="24"/>
          <w:lang w:eastAsia="zh-CN"/>
        </w:rPr>
        <w:t>合计</w:t>
      </w:r>
      <w:r w:rsidR="003C6AC1">
        <w:rPr>
          <w:rFonts w:ascii="华文楷体" w:hAnsi="华文楷体" w:hint="eastAsia"/>
          <w:sz w:val="24"/>
          <w:szCs w:val="24"/>
          <w:lang w:eastAsia="zh-CN"/>
        </w:rPr>
        <w:t>净</w:t>
      </w:r>
      <w:r w:rsidR="007F77B5">
        <w:rPr>
          <w:rFonts w:ascii="华文楷体" w:hAnsi="华文楷体" w:hint="eastAsia"/>
          <w:sz w:val="24"/>
          <w:szCs w:val="24"/>
          <w:lang w:eastAsia="zh-CN"/>
        </w:rPr>
        <w:t>投放9</w:t>
      </w:r>
      <w:r w:rsidR="007F77B5">
        <w:rPr>
          <w:rFonts w:ascii="华文楷体" w:hAnsi="华文楷体"/>
          <w:sz w:val="24"/>
          <w:szCs w:val="24"/>
          <w:lang w:eastAsia="zh-CN"/>
        </w:rPr>
        <w:t>60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E1201F">
        <w:rPr>
          <w:rFonts w:ascii="华文楷体" w:hAnsi="华文楷体" w:hint="eastAsia"/>
          <w:sz w:val="24"/>
          <w:szCs w:val="24"/>
          <w:lang w:eastAsia="zh-CN"/>
        </w:rPr>
        <w:t>央行</w:t>
      </w:r>
      <w:r w:rsidR="00633845">
        <w:rPr>
          <w:rFonts w:ascii="华文楷体" w:hAnsi="华文楷体" w:hint="eastAsia"/>
          <w:sz w:val="24"/>
          <w:szCs w:val="24"/>
          <w:lang w:eastAsia="zh-CN"/>
        </w:rPr>
        <w:t>连续</w:t>
      </w:r>
      <w:r w:rsidR="00E1201F">
        <w:rPr>
          <w:rFonts w:ascii="华文楷体" w:hAnsi="华文楷体" w:hint="eastAsia"/>
          <w:sz w:val="24"/>
          <w:szCs w:val="24"/>
          <w:lang w:eastAsia="zh-CN"/>
        </w:rPr>
        <w:t>投放</w:t>
      </w:r>
      <w:r w:rsidR="007F77B5">
        <w:rPr>
          <w:rFonts w:ascii="华文楷体" w:hAnsi="华文楷体" w:hint="eastAsia"/>
          <w:sz w:val="24"/>
          <w:szCs w:val="24"/>
          <w:lang w:eastAsia="zh-CN"/>
        </w:rPr>
        <w:t>但规模稳定，</w:t>
      </w:r>
      <w:r w:rsidR="00E1201F">
        <w:rPr>
          <w:rFonts w:ascii="华文楷体" w:hAnsi="华文楷体" w:hint="eastAsia"/>
          <w:sz w:val="24"/>
          <w:szCs w:val="24"/>
          <w:lang w:eastAsia="zh-CN"/>
        </w:rPr>
        <w:t>操作相对中性</w:t>
      </w:r>
      <w:r w:rsidR="00B81E73">
        <w:rPr>
          <w:rFonts w:ascii="华文楷体" w:hAnsi="华文楷体" w:hint="eastAsia"/>
          <w:sz w:val="24"/>
          <w:szCs w:val="24"/>
          <w:lang w:eastAsia="zh-CN"/>
        </w:rPr>
        <w:t>。</w:t>
      </w:r>
      <w:r w:rsidR="00854190">
        <w:rPr>
          <w:rFonts w:ascii="华文楷体" w:hAnsi="华文楷体" w:hint="eastAsia"/>
          <w:sz w:val="24"/>
          <w:szCs w:val="24"/>
          <w:lang w:eastAsia="zh-CN"/>
        </w:rPr>
        <w:t>周五</w:t>
      </w:r>
      <w:r>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w:t>
      </w:r>
      <w:r w:rsidR="007F77B5">
        <w:rPr>
          <w:rFonts w:ascii="华文楷体" w:hAnsi="华文楷体" w:hint="eastAsia"/>
          <w:sz w:val="24"/>
          <w:szCs w:val="24"/>
          <w:lang w:eastAsia="zh-CN"/>
        </w:rPr>
        <w:t>下行1</w:t>
      </w:r>
      <w:r w:rsidR="007F77B5">
        <w:rPr>
          <w:rFonts w:ascii="华文楷体" w:hAnsi="华文楷体"/>
          <w:sz w:val="24"/>
          <w:szCs w:val="24"/>
          <w:lang w:eastAsia="zh-CN"/>
        </w:rPr>
        <w:t>52</w:t>
      </w:r>
      <w:r w:rsidR="00D9413F">
        <w:rPr>
          <w:rFonts w:ascii="华文楷体" w:hAnsi="华文楷体" w:hint="eastAsia"/>
          <w:sz w:val="24"/>
          <w:szCs w:val="24"/>
          <w:lang w:eastAsia="zh-CN"/>
        </w:rPr>
        <w:t>BP至</w:t>
      </w:r>
      <w:r w:rsidR="007F77B5">
        <w:rPr>
          <w:rFonts w:ascii="华文楷体" w:hAnsi="华文楷体"/>
          <w:sz w:val="24"/>
          <w:szCs w:val="24"/>
          <w:lang w:eastAsia="zh-CN"/>
        </w:rPr>
        <w:t>1.54</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B20402">
        <w:rPr>
          <w:rFonts w:ascii="华文楷体" w:hAnsi="华文楷体" w:hint="eastAsia"/>
          <w:sz w:val="24"/>
          <w:szCs w:val="24"/>
          <w:lang w:eastAsia="zh-CN"/>
        </w:rPr>
        <w:t>五</w:t>
      </w:r>
      <w:r w:rsidR="007F77B5">
        <w:rPr>
          <w:rFonts w:ascii="华文楷体" w:hAnsi="华文楷体" w:hint="eastAsia"/>
          <w:sz w:val="24"/>
          <w:szCs w:val="24"/>
          <w:lang w:eastAsia="zh-CN"/>
        </w:rPr>
        <w:t>下行1</w:t>
      </w:r>
      <w:r w:rsidR="007F77B5">
        <w:rPr>
          <w:rFonts w:ascii="华文楷体" w:hAnsi="华文楷体"/>
          <w:sz w:val="24"/>
          <w:szCs w:val="24"/>
          <w:lang w:eastAsia="zh-CN"/>
        </w:rPr>
        <w:t>33</w:t>
      </w:r>
      <w:r w:rsidR="00D9413F">
        <w:rPr>
          <w:rFonts w:ascii="华文楷体" w:hAnsi="华文楷体" w:hint="eastAsia"/>
          <w:sz w:val="24"/>
          <w:szCs w:val="24"/>
          <w:lang w:eastAsia="zh-CN"/>
        </w:rPr>
        <w:t>BP至</w:t>
      </w:r>
      <w:r w:rsidR="007F77B5">
        <w:rPr>
          <w:rFonts w:ascii="华文楷体" w:hAnsi="华文楷体"/>
          <w:sz w:val="24"/>
          <w:szCs w:val="24"/>
          <w:lang w:eastAsia="zh-CN"/>
        </w:rPr>
        <w:t>2.43</w:t>
      </w:r>
      <w:r>
        <w:rPr>
          <w:rFonts w:ascii="华文楷体" w:hAnsi="华文楷体" w:hint="eastAsia"/>
          <w:sz w:val="24"/>
          <w:szCs w:val="24"/>
          <w:lang w:eastAsia="zh-CN"/>
        </w:rPr>
        <w:t>%</w:t>
      </w:r>
      <w:r w:rsidR="007F77B5">
        <w:rPr>
          <w:rFonts w:ascii="华文楷体" w:hAnsi="华文楷体" w:hint="eastAsia"/>
          <w:sz w:val="24"/>
          <w:szCs w:val="24"/>
          <w:lang w:eastAsia="zh-CN"/>
        </w:rPr>
        <w:t>，银行间开盘利率有</w:t>
      </w:r>
      <w:r w:rsidR="007F77B5">
        <w:rPr>
          <w:rFonts w:ascii="华文楷体" w:hAnsi="华文楷体" w:hint="eastAsia"/>
          <w:sz w:val="24"/>
          <w:szCs w:val="24"/>
          <w:lang w:eastAsia="zh-CN"/>
        </w:rPr>
        <w:lastRenderedPageBreak/>
        <w:t>所上调，但周内后</w:t>
      </w:r>
      <w:r w:rsidR="00D7789A">
        <w:rPr>
          <w:rFonts w:ascii="华文楷体" w:hAnsi="华文楷体" w:hint="eastAsia"/>
          <w:sz w:val="24"/>
          <w:szCs w:val="24"/>
          <w:lang w:eastAsia="zh-CN"/>
        </w:rPr>
        <w:t>期</w:t>
      </w:r>
      <w:r w:rsidR="007F77B5">
        <w:rPr>
          <w:rFonts w:ascii="华文楷体" w:hAnsi="华文楷体" w:hint="eastAsia"/>
          <w:sz w:val="24"/>
          <w:szCs w:val="24"/>
          <w:lang w:eastAsia="zh-CN"/>
        </w:rPr>
        <w:t>逐步下调，全周看资金面逐步回归稳定。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7F77B5">
        <w:tblPrEx>
          <w:tblCellMar>
            <w:left w:w="108" w:type="dxa"/>
            <w:right w:w="108" w:type="dxa"/>
          </w:tblCellMar>
        </w:tblPrEx>
        <w:trPr>
          <w:jc w:val="center"/>
        </w:trPr>
        <w:tc>
          <w:tcPr>
            <w:tcW w:w="4939" w:type="dxa"/>
            <w:vAlign w:val="center"/>
          </w:tcPr>
          <w:p w14:paraId="60AEAEDC" w14:textId="12D377EA" w:rsidR="00E0626C" w:rsidRPr="003C6AC1" w:rsidRDefault="007F77B5" w:rsidP="009A2BA0">
            <w:pPr>
              <w:jc w:val="center"/>
              <w:rPr>
                <w:noProof/>
                <w:sz w:val="20"/>
              </w:rPr>
            </w:pPr>
            <w:r>
              <w:rPr>
                <w:noProof/>
              </w:rPr>
              <w:drawing>
                <wp:inline distT="0" distB="0" distL="0" distR="0" wp14:anchorId="55AC082D" wp14:editId="3401173E">
                  <wp:extent cx="2999105" cy="1747990"/>
                  <wp:effectExtent l="0" t="0" r="0" b="508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2E409894" w:rsidR="00E0626C" w:rsidRPr="00F62F43" w:rsidRDefault="007F77B5" w:rsidP="009A2BA0">
            <w:pPr>
              <w:jc w:val="center"/>
              <w:rPr>
                <w:noProof/>
                <w:sz w:val="16"/>
                <w:szCs w:val="18"/>
              </w:rPr>
            </w:pPr>
            <w:r>
              <w:rPr>
                <w:noProof/>
              </w:rPr>
              <w:drawing>
                <wp:inline distT="0" distB="0" distL="0" distR="0" wp14:anchorId="7F2A3ABC" wp14:editId="5D8B4F46">
                  <wp:extent cx="2998470" cy="1735455"/>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35D6A81" w:rsidR="00A917BC" w:rsidRPr="00A917BC" w:rsidRDefault="00C01AAA"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短</w:t>
      </w:r>
      <w:proofErr w:type="gramStart"/>
      <w:r>
        <w:rPr>
          <w:rFonts w:ascii="华文楷体" w:hAnsi="华文楷体" w:hint="eastAsia"/>
          <w:sz w:val="24"/>
          <w:szCs w:val="24"/>
          <w:lang w:eastAsia="zh-CN"/>
        </w:rPr>
        <w:t>端快速</w:t>
      </w:r>
      <w:proofErr w:type="gramEnd"/>
      <w:r>
        <w:rPr>
          <w:rFonts w:ascii="华文楷体" w:hAnsi="华文楷体" w:hint="eastAsia"/>
          <w:sz w:val="24"/>
          <w:szCs w:val="24"/>
          <w:lang w:eastAsia="zh-CN"/>
        </w:rPr>
        <w:t>修复，中长端适度上行，市场对央行后续货币政策持续收紧预期较强，叠加基本面相对平稳，利率</w:t>
      </w:r>
      <w:proofErr w:type="gramStart"/>
      <w:r>
        <w:rPr>
          <w:rFonts w:ascii="华文楷体" w:hAnsi="华文楷体" w:hint="eastAsia"/>
          <w:sz w:val="24"/>
          <w:szCs w:val="24"/>
          <w:lang w:eastAsia="zh-CN"/>
        </w:rPr>
        <w:t>债近期</w:t>
      </w:r>
      <w:proofErr w:type="gramEnd"/>
      <w:r>
        <w:rPr>
          <w:rFonts w:ascii="华文楷体" w:hAnsi="华文楷体" w:hint="eastAsia"/>
          <w:sz w:val="24"/>
          <w:szCs w:val="24"/>
          <w:lang w:eastAsia="zh-CN"/>
        </w:rPr>
        <w:t>调整压力持续</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A917BC">
        <w:rPr>
          <w:rFonts w:ascii="华文楷体" w:hAnsi="华文楷体"/>
          <w:sz w:val="24"/>
          <w:szCs w:val="24"/>
          <w:lang w:eastAsia="zh-CN"/>
        </w:rPr>
        <w:t>5</w:t>
      </w:r>
      <w:r>
        <w:rPr>
          <w:rFonts w:ascii="华文楷体" w:hAnsi="华文楷体"/>
          <w:sz w:val="24"/>
          <w:szCs w:val="24"/>
          <w:lang w:eastAsia="zh-CN"/>
        </w:rPr>
        <w:t>1</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Pr>
          <w:rFonts w:ascii="华文楷体" w:hAnsi="华文楷体"/>
          <w:sz w:val="24"/>
          <w:szCs w:val="24"/>
          <w:lang w:eastAsia="zh-CN"/>
        </w:rPr>
        <w:t>82</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A917BC">
        <w:rPr>
          <w:rFonts w:ascii="华文楷体" w:hAnsi="华文楷体" w:hint="eastAsia"/>
          <w:sz w:val="24"/>
          <w:szCs w:val="24"/>
          <w:lang w:eastAsia="zh-CN"/>
        </w:rPr>
        <w:t>上行</w:t>
      </w:r>
      <w:r>
        <w:rPr>
          <w:rFonts w:ascii="华文楷体" w:hAnsi="华文楷体"/>
          <w:sz w:val="24"/>
          <w:szCs w:val="24"/>
          <w:lang w:eastAsia="zh-CN"/>
        </w:rPr>
        <w:t>3.8</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A917BC">
        <w:rPr>
          <w:rFonts w:ascii="华文楷体" w:hAnsi="华文楷体" w:hint="eastAsia"/>
          <w:sz w:val="24"/>
          <w:szCs w:val="24"/>
          <w:lang w:eastAsia="zh-CN"/>
        </w:rPr>
        <w:t>上</w:t>
      </w:r>
      <w:r w:rsidR="007905FA">
        <w:rPr>
          <w:rFonts w:ascii="华文楷体" w:hAnsi="华文楷体" w:hint="eastAsia"/>
          <w:sz w:val="24"/>
          <w:szCs w:val="24"/>
          <w:lang w:eastAsia="zh-CN"/>
        </w:rPr>
        <w:t>行</w:t>
      </w:r>
      <w:proofErr w:type="gramEnd"/>
      <w:r>
        <w:rPr>
          <w:rFonts w:ascii="华文楷体" w:hAnsi="华文楷体"/>
          <w:sz w:val="24"/>
          <w:szCs w:val="24"/>
          <w:lang w:eastAsia="zh-CN"/>
        </w:rPr>
        <w:t>9.4</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A917BC">
        <w:rPr>
          <w:rFonts w:ascii="华文楷体" w:hAnsi="华文楷体"/>
          <w:sz w:val="24"/>
          <w:szCs w:val="24"/>
          <w:lang w:eastAsia="zh-CN"/>
        </w:rPr>
        <w:t>4</w:t>
      </w:r>
      <w:r>
        <w:rPr>
          <w:rFonts w:ascii="华文楷体" w:hAnsi="华文楷体"/>
          <w:sz w:val="24"/>
          <w:szCs w:val="24"/>
          <w:lang w:eastAsia="zh-CN"/>
        </w:rPr>
        <w:t>7</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r>
        <w:rPr>
          <w:rFonts w:ascii="华文楷体" w:hAnsi="华文楷体" w:hint="eastAsia"/>
          <w:sz w:val="24"/>
          <w:szCs w:val="24"/>
          <w:lang w:eastAsia="zh-CN"/>
        </w:rPr>
        <w:t>受央行近期流动性调控影响，权益市场和房地产市场情绪相对较好，宏观杠杆率和通胀情况对后续政策产生一定影响</w:t>
      </w:r>
      <w:r w:rsidR="00453A8C">
        <w:rPr>
          <w:rFonts w:ascii="华文楷体" w:hAnsi="华文楷体" w:hint="eastAsia"/>
          <w:sz w:val="24"/>
          <w:szCs w:val="24"/>
          <w:lang w:eastAsia="zh-CN"/>
        </w:rPr>
        <w:t>，债市边际压力持续</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C01AAA">
        <w:tblPrEx>
          <w:tblCellMar>
            <w:left w:w="108" w:type="dxa"/>
            <w:right w:w="108" w:type="dxa"/>
          </w:tblCellMar>
        </w:tblPrEx>
        <w:trPr>
          <w:jc w:val="center"/>
        </w:trPr>
        <w:tc>
          <w:tcPr>
            <w:tcW w:w="4939" w:type="dxa"/>
            <w:vAlign w:val="center"/>
          </w:tcPr>
          <w:p w14:paraId="678C97B0" w14:textId="5B85A9DB" w:rsidR="00E0626C" w:rsidRPr="007E0340" w:rsidRDefault="00C01AAA" w:rsidP="002104B2">
            <w:pPr>
              <w:rPr>
                <w:noProof/>
              </w:rPr>
            </w:pPr>
            <w:r>
              <w:rPr>
                <w:noProof/>
              </w:rPr>
              <w:drawing>
                <wp:inline distT="0" distB="0" distL="0" distR="0" wp14:anchorId="31D21F29" wp14:editId="25A7B729">
                  <wp:extent cx="2999105" cy="1778801"/>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381FFE51" w:rsidR="00E0626C" w:rsidRPr="007E0340" w:rsidRDefault="00C01AAA" w:rsidP="009A2BA0">
            <w:pPr>
              <w:jc w:val="center"/>
              <w:rPr>
                <w:noProof/>
                <w:szCs w:val="18"/>
              </w:rPr>
            </w:pPr>
            <w:r>
              <w:rPr>
                <w:noProof/>
              </w:rPr>
              <w:drawing>
                <wp:inline distT="0" distB="0" distL="0" distR="0" wp14:anchorId="3E6C4510" wp14:editId="2E2A6D12">
                  <wp:extent cx="2998470" cy="1717040"/>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6D4986C0"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453A8C" w:rsidRPr="00453A8C">
        <w:rPr>
          <w:rFonts w:ascii="华文楷体" w:hAnsi="华文楷体" w:hint="eastAsia"/>
          <w:sz w:val="24"/>
          <w:szCs w:val="24"/>
          <w:lang w:eastAsia="zh-CN"/>
        </w:rPr>
        <w:t>市场偏好持续萎缩，5年和7年AA+评级</w:t>
      </w:r>
      <w:proofErr w:type="gramStart"/>
      <w:r w:rsidR="00453A8C" w:rsidRPr="00453A8C">
        <w:rPr>
          <w:rFonts w:ascii="华文楷体" w:hAnsi="华文楷体" w:hint="eastAsia"/>
          <w:sz w:val="24"/>
          <w:szCs w:val="24"/>
          <w:lang w:eastAsia="zh-CN"/>
        </w:rPr>
        <w:t>城投债品种</w:t>
      </w:r>
      <w:proofErr w:type="gramEnd"/>
      <w:r w:rsidR="00453A8C" w:rsidRPr="00453A8C">
        <w:rPr>
          <w:rFonts w:ascii="华文楷体" w:hAnsi="华文楷体" w:hint="eastAsia"/>
          <w:sz w:val="24"/>
          <w:szCs w:val="24"/>
          <w:lang w:eastAsia="zh-CN"/>
        </w:rPr>
        <w:t>近两周持续上行为主，城投</w:t>
      </w:r>
      <w:proofErr w:type="gramStart"/>
      <w:r w:rsidR="00453A8C" w:rsidRPr="00453A8C">
        <w:rPr>
          <w:rFonts w:ascii="华文楷体" w:hAnsi="华文楷体" w:hint="eastAsia"/>
          <w:sz w:val="24"/>
          <w:szCs w:val="24"/>
          <w:lang w:eastAsia="zh-CN"/>
        </w:rPr>
        <w:t>短融发行</w:t>
      </w:r>
      <w:proofErr w:type="gramEnd"/>
      <w:r w:rsidR="00453A8C" w:rsidRPr="00453A8C">
        <w:rPr>
          <w:rFonts w:ascii="华文楷体" w:hAnsi="华文楷体" w:hint="eastAsia"/>
          <w:sz w:val="24"/>
          <w:szCs w:val="24"/>
          <w:lang w:eastAsia="zh-CN"/>
        </w:rPr>
        <w:t>有所增加，市场对后续信用风险进一步暴露持较谨慎态度</w:t>
      </w:r>
      <w:r w:rsidR="00A917BC">
        <w:rPr>
          <w:rFonts w:ascii="华文楷体" w:hAnsi="华文楷体" w:hint="eastAsia"/>
          <w:sz w:val="24"/>
          <w:szCs w:val="24"/>
          <w:lang w:eastAsia="zh-CN"/>
        </w:rPr>
        <w:t>。</w:t>
      </w:r>
      <w:r w:rsidR="0081665A">
        <w:rPr>
          <w:rFonts w:ascii="华文楷体" w:hAnsi="华文楷体" w:hint="eastAsia"/>
          <w:sz w:val="24"/>
          <w:szCs w:val="24"/>
          <w:lang w:eastAsia="zh-CN"/>
        </w:rPr>
        <w:t>全周来看，1</w:t>
      </w:r>
      <w:r w:rsidR="0081665A">
        <w:rPr>
          <w:rFonts w:ascii="华文楷体" w:hAnsi="华文楷体"/>
          <w:sz w:val="24"/>
          <w:szCs w:val="24"/>
          <w:lang w:eastAsia="zh-CN"/>
        </w:rPr>
        <w:t>Y</w:t>
      </w:r>
      <w:r w:rsidR="0081665A">
        <w:rPr>
          <w:rFonts w:ascii="华文楷体" w:hAnsi="华文楷体" w:hint="eastAsia"/>
          <w:sz w:val="24"/>
          <w:szCs w:val="24"/>
          <w:lang w:eastAsia="zh-CN"/>
        </w:rPr>
        <w:t>中短期票据</w:t>
      </w:r>
      <w:r w:rsidR="00453A8C">
        <w:rPr>
          <w:rFonts w:ascii="华文楷体" w:hAnsi="华文楷体" w:hint="eastAsia"/>
          <w:sz w:val="24"/>
          <w:szCs w:val="24"/>
          <w:lang w:eastAsia="zh-CN"/>
        </w:rPr>
        <w:t>震荡为主幅度在</w:t>
      </w:r>
      <w:r w:rsidR="00453A8C">
        <w:rPr>
          <w:rFonts w:ascii="华文楷体" w:hAnsi="华文楷体"/>
          <w:sz w:val="24"/>
          <w:szCs w:val="24"/>
          <w:lang w:eastAsia="zh-CN"/>
        </w:rPr>
        <w:t>1</w:t>
      </w:r>
      <w:r w:rsidR="00453A8C">
        <w:rPr>
          <w:rFonts w:ascii="华文楷体" w:hAnsi="华文楷体" w:hint="eastAsia"/>
          <w:sz w:val="24"/>
          <w:szCs w:val="24"/>
          <w:lang w:eastAsia="zh-CN"/>
        </w:rPr>
        <w:t>-</w:t>
      </w:r>
      <w:r w:rsidR="00453A8C">
        <w:rPr>
          <w:rFonts w:ascii="华文楷体" w:hAnsi="华文楷体"/>
          <w:sz w:val="24"/>
          <w:szCs w:val="24"/>
          <w:lang w:eastAsia="zh-CN"/>
        </w:rPr>
        <w:t>2BP</w:t>
      </w:r>
      <w:r w:rsidR="0081665A">
        <w:rPr>
          <w:rFonts w:ascii="华文楷体" w:hAnsi="华文楷体" w:hint="eastAsia"/>
          <w:sz w:val="24"/>
          <w:szCs w:val="24"/>
          <w:lang w:eastAsia="zh-CN"/>
        </w:rPr>
        <w:t>，3</w:t>
      </w:r>
      <w:r w:rsidR="0081665A">
        <w:rPr>
          <w:rFonts w:ascii="华文楷体" w:hAnsi="华文楷体"/>
          <w:sz w:val="24"/>
          <w:szCs w:val="24"/>
          <w:lang w:eastAsia="zh-CN"/>
        </w:rPr>
        <w:t>Y</w:t>
      </w:r>
      <w:r w:rsidR="0081665A">
        <w:rPr>
          <w:rFonts w:ascii="华文楷体" w:hAnsi="华文楷体" w:hint="eastAsia"/>
          <w:sz w:val="24"/>
          <w:szCs w:val="24"/>
          <w:lang w:eastAsia="zh-CN"/>
        </w:rPr>
        <w:t>中票、企业债上行</w:t>
      </w:r>
      <w:r w:rsidR="00453A8C">
        <w:rPr>
          <w:rFonts w:ascii="华文楷体" w:hAnsi="华文楷体"/>
          <w:sz w:val="24"/>
          <w:szCs w:val="24"/>
          <w:lang w:eastAsia="zh-CN"/>
        </w:rPr>
        <w:t>0</w:t>
      </w:r>
      <w:r w:rsidR="00453A8C">
        <w:rPr>
          <w:rFonts w:ascii="华文楷体" w:hAnsi="华文楷体" w:hint="eastAsia"/>
          <w:sz w:val="24"/>
          <w:szCs w:val="24"/>
          <w:lang w:eastAsia="zh-CN"/>
        </w:rPr>
        <w:t>-</w:t>
      </w:r>
      <w:r w:rsidR="00453A8C">
        <w:rPr>
          <w:rFonts w:ascii="华文楷体" w:hAnsi="华文楷体"/>
          <w:sz w:val="24"/>
          <w:szCs w:val="24"/>
          <w:lang w:eastAsia="zh-CN"/>
        </w:rPr>
        <w:t>3</w:t>
      </w:r>
      <w:r w:rsidR="0081665A">
        <w:rPr>
          <w:rFonts w:ascii="华文楷体" w:hAnsi="华文楷体"/>
          <w:sz w:val="24"/>
          <w:szCs w:val="24"/>
          <w:lang w:eastAsia="zh-CN"/>
        </w:rPr>
        <w:t>BP</w:t>
      </w:r>
      <w:r w:rsidR="0081665A">
        <w:rPr>
          <w:rFonts w:ascii="华文楷体" w:hAnsi="华文楷体" w:hint="eastAsia"/>
          <w:sz w:val="24"/>
          <w:szCs w:val="24"/>
          <w:lang w:eastAsia="zh-CN"/>
        </w:rPr>
        <w:t>，</w:t>
      </w:r>
      <w:r w:rsidR="005D5C69">
        <w:rPr>
          <w:rFonts w:ascii="华文楷体" w:hAnsi="华文楷体" w:hint="eastAsia"/>
          <w:sz w:val="24"/>
          <w:szCs w:val="24"/>
          <w:lang w:eastAsia="zh-CN"/>
        </w:rPr>
        <w:t>3</w:t>
      </w:r>
      <w:r w:rsidR="005D5C69">
        <w:rPr>
          <w:rFonts w:ascii="华文楷体" w:hAnsi="华文楷体"/>
          <w:sz w:val="24"/>
          <w:szCs w:val="24"/>
          <w:lang w:eastAsia="zh-CN"/>
        </w:rPr>
        <w:t>Y</w:t>
      </w:r>
      <w:r w:rsidR="005D5C69">
        <w:rPr>
          <w:rFonts w:ascii="华文楷体" w:hAnsi="华文楷体" w:hint="eastAsia"/>
          <w:sz w:val="24"/>
          <w:szCs w:val="24"/>
          <w:lang w:eastAsia="zh-CN"/>
        </w:rPr>
        <w:t>城投</w:t>
      </w:r>
      <w:r w:rsidR="00453A8C">
        <w:rPr>
          <w:rFonts w:ascii="华文楷体" w:hAnsi="华文楷体" w:hint="eastAsia"/>
          <w:sz w:val="24"/>
          <w:szCs w:val="24"/>
          <w:lang w:eastAsia="zh-CN"/>
        </w:rPr>
        <w:t>下行0-</w:t>
      </w:r>
      <w:r w:rsidR="00453A8C">
        <w:rPr>
          <w:rFonts w:ascii="华文楷体" w:hAnsi="华文楷体"/>
          <w:sz w:val="24"/>
          <w:szCs w:val="24"/>
          <w:lang w:eastAsia="zh-CN"/>
        </w:rPr>
        <w:t>3</w:t>
      </w:r>
      <w:r w:rsidR="005D5C69">
        <w:rPr>
          <w:rFonts w:ascii="华文楷体" w:hAnsi="华文楷体"/>
          <w:sz w:val="24"/>
          <w:szCs w:val="24"/>
          <w:lang w:eastAsia="zh-CN"/>
        </w:rPr>
        <w:t>BP</w:t>
      </w:r>
      <w:r w:rsidR="005D5C69">
        <w:rPr>
          <w:rFonts w:ascii="华文楷体" w:hAnsi="华文楷体" w:hint="eastAsia"/>
          <w:sz w:val="24"/>
          <w:szCs w:val="24"/>
          <w:lang w:eastAsia="zh-CN"/>
        </w:rPr>
        <w:t>。5</w:t>
      </w:r>
      <w:r w:rsidR="005D5C69">
        <w:rPr>
          <w:rFonts w:ascii="华文楷体" w:hAnsi="华文楷体"/>
          <w:sz w:val="24"/>
          <w:szCs w:val="24"/>
          <w:lang w:eastAsia="zh-CN"/>
        </w:rPr>
        <w:t>Y</w:t>
      </w:r>
      <w:r w:rsidR="005D5C69">
        <w:rPr>
          <w:rFonts w:ascii="华文楷体" w:hAnsi="华文楷体" w:hint="eastAsia"/>
          <w:sz w:val="24"/>
          <w:szCs w:val="24"/>
          <w:lang w:eastAsia="zh-CN"/>
        </w:rPr>
        <w:t>和7</w:t>
      </w:r>
      <w:r w:rsidR="005D5C69">
        <w:rPr>
          <w:rFonts w:ascii="华文楷体" w:hAnsi="华文楷体"/>
          <w:sz w:val="24"/>
          <w:szCs w:val="24"/>
          <w:lang w:eastAsia="zh-CN"/>
        </w:rPr>
        <w:t>Y</w:t>
      </w:r>
      <w:r w:rsidR="005D5C69">
        <w:rPr>
          <w:rFonts w:ascii="华文楷体" w:hAnsi="华文楷体" w:hint="eastAsia"/>
          <w:sz w:val="24"/>
          <w:szCs w:val="24"/>
          <w:lang w:eastAsia="zh-CN"/>
        </w:rPr>
        <w:t>中长期</w:t>
      </w:r>
      <w:proofErr w:type="gramStart"/>
      <w:r w:rsidR="005D5C69">
        <w:rPr>
          <w:rFonts w:ascii="华文楷体" w:hAnsi="华文楷体" w:hint="eastAsia"/>
          <w:sz w:val="24"/>
          <w:szCs w:val="24"/>
          <w:lang w:eastAsia="zh-CN"/>
        </w:rPr>
        <w:t>限品种</w:t>
      </w:r>
      <w:proofErr w:type="gramEnd"/>
      <w:r w:rsidR="00453A8C">
        <w:rPr>
          <w:rFonts w:ascii="华文楷体" w:hAnsi="华文楷体" w:hint="eastAsia"/>
          <w:sz w:val="24"/>
          <w:szCs w:val="24"/>
          <w:lang w:eastAsia="zh-CN"/>
        </w:rPr>
        <w:t>波动在-</w:t>
      </w:r>
      <w:r w:rsidR="00453A8C">
        <w:rPr>
          <w:rFonts w:ascii="华文楷体" w:hAnsi="华文楷体"/>
          <w:sz w:val="24"/>
          <w:szCs w:val="24"/>
          <w:lang w:eastAsia="zh-CN"/>
        </w:rPr>
        <w:t>3</w:t>
      </w:r>
      <w:r w:rsidR="00453A8C">
        <w:rPr>
          <w:rFonts w:ascii="华文楷体" w:hAnsi="华文楷体" w:hint="eastAsia"/>
          <w:sz w:val="24"/>
          <w:szCs w:val="24"/>
          <w:lang w:eastAsia="zh-CN"/>
        </w:rPr>
        <w:t>~</w:t>
      </w:r>
      <w:r w:rsidR="00453A8C">
        <w:rPr>
          <w:rFonts w:ascii="华文楷体" w:hAnsi="华文楷体"/>
          <w:sz w:val="24"/>
          <w:szCs w:val="24"/>
          <w:lang w:eastAsia="zh-CN"/>
        </w:rPr>
        <w:t>3BP</w:t>
      </w:r>
      <w:r w:rsidR="00453A8C">
        <w:rPr>
          <w:rFonts w:ascii="华文楷体" w:hAnsi="华文楷体" w:hint="eastAsia"/>
          <w:sz w:val="24"/>
          <w:szCs w:val="24"/>
          <w:lang w:eastAsia="zh-CN"/>
        </w:rPr>
        <w:t>为主</w:t>
      </w:r>
      <w:r w:rsidR="00B03273">
        <w:rPr>
          <w:rFonts w:ascii="华文楷体" w:hAnsi="华文楷体" w:hint="eastAsia"/>
          <w:sz w:val="24"/>
          <w:szCs w:val="24"/>
          <w:lang w:eastAsia="zh-CN"/>
        </w:rPr>
        <w:t>，A</w:t>
      </w:r>
      <w:r w:rsidR="00B03273">
        <w:rPr>
          <w:rFonts w:ascii="华文楷体" w:hAnsi="华文楷体"/>
          <w:sz w:val="24"/>
          <w:szCs w:val="24"/>
          <w:lang w:eastAsia="zh-CN"/>
        </w:rPr>
        <w:t>A</w:t>
      </w:r>
      <w:r w:rsidR="00B03273">
        <w:rPr>
          <w:rFonts w:ascii="华文楷体" w:hAnsi="华文楷体" w:hint="eastAsia"/>
          <w:sz w:val="24"/>
          <w:szCs w:val="24"/>
          <w:lang w:eastAsia="zh-CN"/>
        </w:rPr>
        <w:t>+品种中</w:t>
      </w:r>
      <w:proofErr w:type="gramStart"/>
      <w:r w:rsidR="00B03273">
        <w:rPr>
          <w:rFonts w:ascii="华文楷体" w:hAnsi="华文楷体" w:hint="eastAsia"/>
          <w:sz w:val="24"/>
          <w:szCs w:val="24"/>
          <w:lang w:eastAsia="zh-CN"/>
        </w:rPr>
        <w:t>城投债上行</w:t>
      </w:r>
      <w:proofErr w:type="gramEnd"/>
      <w:r w:rsidR="00B03273">
        <w:rPr>
          <w:rFonts w:ascii="华文楷体" w:hAnsi="华文楷体" w:hint="eastAsia"/>
          <w:sz w:val="24"/>
          <w:szCs w:val="24"/>
          <w:lang w:eastAsia="zh-CN"/>
        </w:rPr>
        <w:t>相对明显在</w:t>
      </w:r>
      <w:r w:rsidR="00453A8C">
        <w:rPr>
          <w:rFonts w:ascii="华文楷体" w:hAnsi="华文楷体"/>
          <w:sz w:val="24"/>
          <w:szCs w:val="24"/>
          <w:lang w:eastAsia="zh-CN"/>
        </w:rPr>
        <w:t>4</w:t>
      </w:r>
      <w:r w:rsidR="00453A8C">
        <w:rPr>
          <w:rFonts w:ascii="华文楷体" w:hAnsi="华文楷体" w:hint="eastAsia"/>
          <w:sz w:val="24"/>
          <w:szCs w:val="24"/>
          <w:lang w:eastAsia="zh-CN"/>
        </w:rPr>
        <w:t>-</w:t>
      </w:r>
      <w:r w:rsidR="00453A8C">
        <w:rPr>
          <w:rFonts w:ascii="华文楷体" w:hAnsi="华文楷体"/>
          <w:sz w:val="24"/>
          <w:szCs w:val="24"/>
          <w:lang w:eastAsia="zh-CN"/>
        </w:rPr>
        <w:t>5</w:t>
      </w:r>
      <w:r w:rsidR="00B03273">
        <w:rPr>
          <w:rFonts w:ascii="华文楷体" w:hAnsi="华文楷体"/>
          <w:sz w:val="24"/>
          <w:szCs w:val="24"/>
          <w:lang w:eastAsia="zh-CN"/>
        </w:rPr>
        <w:t>BP</w:t>
      </w:r>
      <w:r w:rsidR="005D5C69">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B03273">
        <w:rPr>
          <w:rFonts w:ascii="华文楷体" w:hAnsi="华文楷体"/>
          <w:sz w:val="24"/>
          <w:szCs w:val="24"/>
          <w:lang w:eastAsia="zh-CN"/>
        </w:rPr>
        <w:t>35</w:t>
      </w:r>
      <w:r w:rsidR="00B03273">
        <w:rPr>
          <w:rFonts w:ascii="华文楷体" w:hAnsi="华文楷体" w:hint="eastAsia"/>
          <w:sz w:val="24"/>
          <w:szCs w:val="24"/>
          <w:lang w:eastAsia="zh-CN"/>
        </w:rPr>
        <w:t>-</w:t>
      </w:r>
      <w:r w:rsidR="00B03273">
        <w:rPr>
          <w:rFonts w:ascii="华文楷体" w:hAnsi="华文楷体"/>
          <w:sz w:val="24"/>
          <w:szCs w:val="24"/>
          <w:lang w:eastAsia="zh-CN"/>
        </w:rPr>
        <w:t>40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453A8C">
        <w:rPr>
          <w:rFonts w:ascii="华文楷体" w:hAnsi="华文楷体"/>
          <w:sz w:val="24"/>
          <w:szCs w:val="24"/>
          <w:lang w:eastAsia="zh-CN"/>
        </w:rPr>
        <w:t>30</w:t>
      </w:r>
      <w:r w:rsidR="004F1AB3">
        <w:rPr>
          <w:rFonts w:ascii="华文楷体" w:hAnsi="华文楷体" w:hint="eastAsia"/>
          <w:sz w:val="24"/>
          <w:szCs w:val="24"/>
          <w:lang w:eastAsia="zh-CN"/>
        </w:rPr>
        <w:t>-3</w:t>
      </w:r>
      <w:r w:rsidR="00B03273">
        <w:rPr>
          <w:rFonts w:ascii="华文楷体" w:hAnsi="华文楷体"/>
          <w:sz w:val="24"/>
          <w:szCs w:val="24"/>
          <w:lang w:eastAsia="zh-CN"/>
        </w:rPr>
        <w:t>5</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w:t>
      </w:r>
      <w:r w:rsidR="00453A8C">
        <w:rPr>
          <w:rFonts w:ascii="华文楷体" w:hAnsi="华文楷体"/>
          <w:sz w:val="24"/>
          <w:szCs w:val="24"/>
          <w:lang w:eastAsia="zh-CN"/>
        </w:rPr>
        <w:t>0</w:t>
      </w:r>
      <w:r w:rsidR="004F1AB3">
        <w:rPr>
          <w:rFonts w:ascii="华文楷体" w:hAnsi="华文楷体" w:hint="eastAsia"/>
          <w:sz w:val="24"/>
          <w:szCs w:val="24"/>
          <w:lang w:eastAsia="zh-CN"/>
        </w:rPr>
        <w:t>-2</w:t>
      </w:r>
      <w:r w:rsidR="00B03273">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proofErr w:type="gramStart"/>
      <w:r w:rsidR="00453A8C">
        <w:rPr>
          <w:rFonts w:ascii="华文楷体" w:hAnsi="华文楷体" w:hint="eastAsia"/>
          <w:sz w:val="24"/>
          <w:szCs w:val="24"/>
          <w:lang w:eastAsia="zh-CN"/>
        </w:rPr>
        <w:t>城投债品种</w:t>
      </w:r>
      <w:proofErr w:type="gramEnd"/>
      <w:r w:rsidR="00453A8C">
        <w:rPr>
          <w:rFonts w:ascii="华文楷体" w:hAnsi="华文楷体" w:hint="eastAsia"/>
          <w:sz w:val="24"/>
          <w:szCs w:val="24"/>
          <w:lang w:eastAsia="zh-CN"/>
        </w:rPr>
        <w:t>近两周表现略弱</w:t>
      </w:r>
      <w:r w:rsidR="005D5C69">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160"/>
              <w:gridCol w:w="942"/>
              <w:gridCol w:w="942"/>
              <w:gridCol w:w="942"/>
              <w:gridCol w:w="942"/>
              <w:gridCol w:w="1197"/>
              <w:gridCol w:w="687"/>
              <w:gridCol w:w="942"/>
              <w:gridCol w:w="942"/>
              <w:gridCol w:w="942"/>
            </w:tblGrid>
            <w:tr w:rsidR="00453A8C" w:rsidRPr="00453A8C" w14:paraId="69E5D149" w14:textId="77777777" w:rsidTr="00453A8C">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064F31C3"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收益率(%)</w:t>
                  </w:r>
                </w:p>
              </w:tc>
              <w:tc>
                <w:tcPr>
                  <w:tcW w:w="942" w:type="dxa"/>
                  <w:tcBorders>
                    <w:top w:val="nil"/>
                    <w:left w:val="nil"/>
                    <w:bottom w:val="single" w:sz="12" w:space="0" w:color="FFFFFF"/>
                    <w:right w:val="single" w:sz="8" w:space="0" w:color="FFFFFF"/>
                  </w:tcBorders>
                  <w:shd w:val="clear" w:color="000000" w:fill="F79646"/>
                  <w:noWrap/>
                  <w:vAlign w:val="center"/>
                  <w:hideMark/>
                </w:tcPr>
                <w:p w14:paraId="2734CC46"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F8D6961"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F1080CF"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72A657C"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1197" w:type="dxa"/>
                  <w:tcBorders>
                    <w:top w:val="nil"/>
                    <w:left w:val="nil"/>
                    <w:bottom w:val="single" w:sz="12" w:space="0" w:color="FFFFFF"/>
                    <w:right w:val="single" w:sz="8" w:space="0" w:color="FFFFFF"/>
                  </w:tcBorders>
                  <w:shd w:val="clear" w:color="000000" w:fill="F79646"/>
                  <w:noWrap/>
                  <w:vAlign w:val="center"/>
                  <w:hideMark/>
                </w:tcPr>
                <w:p w14:paraId="5084092F"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息差</w:t>
                  </w:r>
                </w:p>
              </w:tc>
              <w:tc>
                <w:tcPr>
                  <w:tcW w:w="687" w:type="dxa"/>
                  <w:tcBorders>
                    <w:top w:val="nil"/>
                    <w:left w:val="nil"/>
                    <w:bottom w:val="single" w:sz="12" w:space="0" w:color="FFFFFF"/>
                    <w:right w:val="single" w:sz="8" w:space="0" w:color="FFFFFF"/>
                  </w:tcBorders>
                  <w:shd w:val="clear" w:color="000000" w:fill="F79646"/>
                  <w:noWrap/>
                  <w:vAlign w:val="center"/>
                  <w:hideMark/>
                </w:tcPr>
                <w:p w14:paraId="74612052"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D21D83C"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67145BF"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28D82F5"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r>
            <w:tr w:rsidR="00453A8C" w:rsidRPr="00453A8C" w14:paraId="4BB07DDB" w14:textId="77777777" w:rsidTr="00453A8C">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309AC705"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3CD1DB1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3.26 </w:t>
                  </w:r>
                </w:p>
              </w:tc>
              <w:tc>
                <w:tcPr>
                  <w:tcW w:w="942" w:type="dxa"/>
                  <w:tcBorders>
                    <w:top w:val="nil"/>
                    <w:left w:val="nil"/>
                    <w:bottom w:val="single" w:sz="8" w:space="0" w:color="FFFFFF"/>
                    <w:right w:val="single" w:sz="8" w:space="0" w:color="FFFFFF"/>
                  </w:tcBorders>
                  <w:shd w:val="clear" w:color="000000" w:fill="FCD5B4"/>
                  <w:noWrap/>
                  <w:vAlign w:val="center"/>
                  <w:hideMark/>
                </w:tcPr>
                <w:p w14:paraId="59CDE34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3.45 </w:t>
                  </w:r>
                </w:p>
              </w:tc>
              <w:tc>
                <w:tcPr>
                  <w:tcW w:w="942" w:type="dxa"/>
                  <w:tcBorders>
                    <w:top w:val="nil"/>
                    <w:left w:val="nil"/>
                    <w:bottom w:val="single" w:sz="8" w:space="0" w:color="FFFFFF"/>
                    <w:right w:val="single" w:sz="8" w:space="0" w:color="FFFFFF"/>
                  </w:tcBorders>
                  <w:shd w:val="clear" w:color="000000" w:fill="FCD5B4"/>
                  <w:noWrap/>
                  <w:vAlign w:val="center"/>
                  <w:hideMark/>
                </w:tcPr>
                <w:p w14:paraId="4A942AC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3.81 </w:t>
                  </w:r>
                </w:p>
              </w:tc>
              <w:tc>
                <w:tcPr>
                  <w:tcW w:w="942" w:type="dxa"/>
                  <w:tcBorders>
                    <w:top w:val="nil"/>
                    <w:left w:val="nil"/>
                    <w:bottom w:val="single" w:sz="8" w:space="0" w:color="FFFFFF"/>
                    <w:right w:val="single" w:sz="8" w:space="0" w:color="FFFFFF"/>
                  </w:tcBorders>
                  <w:shd w:val="clear" w:color="000000" w:fill="FCD5B4"/>
                  <w:noWrap/>
                  <w:vAlign w:val="center"/>
                  <w:hideMark/>
                </w:tcPr>
                <w:p w14:paraId="3139D8E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5.98 </w:t>
                  </w:r>
                </w:p>
              </w:tc>
              <w:tc>
                <w:tcPr>
                  <w:tcW w:w="1197" w:type="dxa"/>
                  <w:tcBorders>
                    <w:top w:val="nil"/>
                    <w:left w:val="nil"/>
                    <w:bottom w:val="single" w:sz="8" w:space="0" w:color="FFFFFF"/>
                    <w:right w:val="single" w:sz="8" w:space="0" w:color="FFFFFF"/>
                  </w:tcBorders>
                  <w:shd w:val="clear" w:color="000000" w:fill="FCD5B4"/>
                  <w:noWrap/>
                  <w:vAlign w:val="center"/>
                  <w:hideMark/>
                </w:tcPr>
                <w:p w14:paraId="1343E4A0"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687" w:type="dxa"/>
                  <w:tcBorders>
                    <w:top w:val="nil"/>
                    <w:left w:val="nil"/>
                    <w:bottom w:val="single" w:sz="8" w:space="0" w:color="FFFFFF"/>
                    <w:right w:val="single" w:sz="8" w:space="0" w:color="FFFFFF"/>
                  </w:tcBorders>
                  <w:shd w:val="clear" w:color="000000" w:fill="FCD5B4"/>
                  <w:noWrap/>
                  <w:vAlign w:val="center"/>
                  <w:hideMark/>
                </w:tcPr>
                <w:p w14:paraId="2EA6908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0.56 </w:t>
                  </w:r>
                </w:p>
              </w:tc>
              <w:tc>
                <w:tcPr>
                  <w:tcW w:w="942" w:type="dxa"/>
                  <w:tcBorders>
                    <w:top w:val="nil"/>
                    <w:left w:val="nil"/>
                    <w:bottom w:val="single" w:sz="8" w:space="0" w:color="FFFFFF"/>
                    <w:right w:val="single" w:sz="8" w:space="0" w:color="FFFFFF"/>
                  </w:tcBorders>
                  <w:shd w:val="clear" w:color="000000" w:fill="FCD5B4"/>
                  <w:noWrap/>
                  <w:vAlign w:val="center"/>
                  <w:hideMark/>
                </w:tcPr>
                <w:p w14:paraId="4702C8E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0.75 </w:t>
                  </w:r>
                </w:p>
              </w:tc>
              <w:tc>
                <w:tcPr>
                  <w:tcW w:w="942" w:type="dxa"/>
                  <w:tcBorders>
                    <w:top w:val="nil"/>
                    <w:left w:val="nil"/>
                    <w:bottom w:val="single" w:sz="8" w:space="0" w:color="FFFFFF"/>
                    <w:right w:val="single" w:sz="8" w:space="0" w:color="FFFFFF"/>
                  </w:tcBorders>
                  <w:shd w:val="clear" w:color="000000" w:fill="FCD5B4"/>
                  <w:noWrap/>
                  <w:vAlign w:val="center"/>
                  <w:hideMark/>
                </w:tcPr>
                <w:p w14:paraId="50E1510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1.11 </w:t>
                  </w:r>
                </w:p>
              </w:tc>
              <w:tc>
                <w:tcPr>
                  <w:tcW w:w="942" w:type="dxa"/>
                  <w:tcBorders>
                    <w:top w:val="nil"/>
                    <w:left w:val="nil"/>
                    <w:bottom w:val="single" w:sz="8" w:space="0" w:color="FFFFFF"/>
                    <w:right w:val="single" w:sz="8" w:space="0" w:color="FFFFFF"/>
                  </w:tcBorders>
                  <w:shd w:val="clear" w:color="000000" w:fill="FCD5B4"/>
                  <w:noWrap/>
                  <w:vAlign w:val="center"/>
                  <w:hideMark/>
                </w:tcPr>
                <w:p w14:paraId="6EEE6BF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3.28 </w:t>
                  </w:r>
                </w:p>
              </w:tc>
            </w:tr>
            <w:tr w:rsidR="00453A8C" w:rsidRPr="00453A8C" w14:paraId="4220A0D1"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4CD90B1B"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3D8BEEC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3.71 </w:t>
                  </w:r>
                </w:p>
              </w:tc>
              <w:tc>
                <w:tcPr>
                  <w:tcW w:w="942" w:type="dxa"/>
                  <w:tcBorders>
                    <w:top w:val="nil"/>
                    <w:left w:val="nil"/>
                    <w:bottom w:val="single" w:sz="8" w:space="0" w:color="FFFFFF"/>
                    <w:right w:val="single" w:sz="8" w:space="0" w:color="FFFFFF"/>
                  </w:tcBorders>
                  <w:shd w:val="clear" w:color="000000" w:fill="FDE9D9"/>
                  <w:noWrap/>
                  <w:vAlign w:val="center"/>
                  <w:hideMark/>
                </w:tcPr>
                <w:p w14:paraId="3C53948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3.95 </w:t>
                  </w:r>
                </w:p>
              </w:tc>
              <w:tc>
                <w:tcPr>
                  <w:tcW w:w="942" w:type="dxa"/>
                  <w:tcBorders>
                    <w:top w:val="nil"/>
                    <w:left w:val="nil"/>
                    <w:bottom w:val="single" w:sz="8" w:space="0" w:color="FFFFFF"/>
                    <w:right w:val="single" w:sz="8" w:space="0" w:color="FFFFFF"/>
                  </w:tcBorders>
                  <w:shd w:val="clear" w:color="000000" w:fill="FDE9D9"/>
                  <w:noWrap/>
                  <w:vAlign w:val="center"/>
                  <w:hideMark/>
                </w:tcPr>
                <w:p w14:paraId="6D75787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4.39 </w:t>
                  </w:r>
                </w:p>
              </w:tc>
              <w:tc>
                <w:tcPr>
                  <w:tcW w:w="942" w:type="dxa"/>
                  <w:tcBorders>
                    <w:top w:val="nil"/>
                    <w:left w:val="nil"/>
                    <w:bottom w:val="single" w:sz="8" w:space="0" w:color="FFFFFF"/>
                    <w:right w:val="single" w:sz="8" w:space="0" w:color="FFFFFF"/>
                  </w:tcBorders>
                  <w:shd w:val="clear" w:color="000000" w:fill="FDE9D9"/>
                  <w:noWrap/>
                  <w:vAlign w:val="center"/>
                  <w:hideMark/>
                </w:tcPr>
                <w:p w14:paraId="4E9AAE3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6.56 </w:t>
                  </w:r>
                </w:p>
              </w:tc>
              <w:tc>
                <w:tcPr>
                  <w:tcW w:w="1197" w:type="dxa"/>
                  <w:tcBorders>
                    <w:top w:val="nil"/>
                    <w:left w:val="nil"/>
                    <w:bottom w:val="single" w:sz="8" w:space="0" w:color="FFFFFF"/>
                    <w:right w:val="single" w:sz="8" w:space="0" w:color="FFFFFF"/>
                  </w:tcBorders>
                  <w:shd w:val="clear" w:color="000000" w:fill="FDE9D9"/>
                  <w:noWrap/>
                  <w:vAlign w:val="center"/>
                  <w:hideMark/>
                </w:tcPr>
                <w:p w14:paraId="1F1A571D"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687" w:type="dxa"/>
                  <w:tcBorders>
                    <w:top w:val="nil"/>
                    <w:left w:val="nil"/>
                    <w:bottom w:val="single" w:sz="8" w:space="0" w:color="FFFFFF"/>
                    <w:right w:val="single" w:sz="8" w:space="0" w:color="FFFFFF"/>
                  </w:tcBorders>
                  <w:shd w:val="clear" w:color="000000" w:fill="FDE9D9"/>
                  <w:noWrap/>
                  <w:vAlign w:val="center"/>
                  <w:hideMark/>
                </w:tcPr>
                <w:p w14:paraId="508CB2E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0.79 </w:t>
                  </w:r>
                </w:p>
              </w:tc>
              <w:tc>
                <w:tcPr>
                  <w:tcW w:w="942" w:type="dxa"/>
                  <w:tcBorders>
                    <w:top w:val="nil"/>
                    <w:left w:val="nil"/>
                    <w:bottom w:val="single" w:sz="8" w:space="0" w:color="FFFFFF"/>
                    <w:right w:val="single" w:sz="8" w:space="0" w:color="FFFFFF"/>
                  </w:tcBorders>
                  <w:shd w:val="clear" w:color="000000" w:fill="FDE9D9"/>
                  <w:noWrap/>
                  <w:vAlign w:val="center"/>
                  <w:hideMark/>
                </w:tcPr>
                <w:p w14:paraId="40B8FB3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1.04 </w:t>
                  </w:r>
                </w:p>
              </w:tc>
              <w:tc>
                <w:tcPr>
                  <w:tcW w:w="942" w:type="dxa"/>
                  <w:tcBorders>
                    <w:top w:val="nil"/>
                    <w:left w:val="nil"/>
                    <w:bottom w:val="single" w:sz="8" w:space="0" w:color="FFFFFF"/>
                    <w:right w:val="single" w:sz="8" w:space="0" w:color="FFFFFF"/>
                  </w:tcBorders>
                  <w:shd w:val="clear" w:color="000000" w:fill="FDE9D9"/>
                  <w:noWrap/>
                  <w:vAlign w:val="center"/>
                  <w:hideMark/>
                </w:tcPr>
                <w:p w14:paraId="1389A9D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1.48 </w:t>
                  </w:r>
                </w:p>
              </w:tc>
              <w:tc>
                <w:tcPr>
                  <w:tcW w:w="942" w:type="dxa"/>
                  <w:tcBorders>
                    <w:top w:val="nil"/>
                    <w:left w:val="nil"/>
                    <w:bottom w:val="single" w:sz="8" w:space="0" w:color="FFFFFF"/>
                    <w:right w:val="single" w:sz="8" w:space="0" w:color="FFFFFF"/>
                  </w:tcBorders>
                  <w:shd w:val="clear" w:color="000000" w:fill="FDE9D9"/>
                  <w:noWrap/>
                  <w:vAlign w:val="center"/>
                  <w:hideMark/>
                </w:tcPr>
                <w:p w14:paraId="2345A6E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3.65 </w:t>
                  </w:r>
                </w:p>
              </w:tc>
            </w:tr>
            <w:tr w:rsidR="00453A8C" w:rsidRPr="00453A8C" w14:paraId="302C9242"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8C654E7"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6BB4201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3.85 </w:t>
                  </w:r>
                </w:p>
              </w:tc>
              <w:tc>
                <w:tcPr>
                  <w:tcW w:w="942" w:type="dxa"/>
                  <w:tcBorders>
                    <w:top w:val="nil"/>
                    <w:left w:val="nil"/>
                    <w:bottom w:val="single" w:sz="8" w:space="0" w:color="FFFFFF"/>
                    <w:right w:val="single" w:sz="8" w:space="0" w:color="FFFFFF"/>
                  </w:tcBorders>
                  <w:shd w:val="clear" w:color="000000" w:fill="FCD5B4"/>
                  <w:noWrap/>
                  <w:vAlign w:val="center"/>
                  <w:hideMark/>
                </w:tcPr>
                <w:p w14:paraId="7840346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4.28 </w:t>
                  </w:r>
                </w:p>
              </w:tc>
              <w:tc>
                <w:tcPr>
                  <w:tcW w:w="942" w:type="dxa"/>
                  <w:tcBorders>
                    <w:top w:val="nil"/>
                    <w:left w:val="nil"/>
                    <w:bottom w:val="single" w:sz="8" w:space="0" w:color="FFFFFF"/>
                    <w:right w:val="single" w:sz="8" w:space="0" w:color="FFFFFF"/>
                  </w:tcBorders>
                  <w:shd w:val="clear" w:color="000000" w:fill="FCD5B4"/>
                  <w:noWrap/>
                  <w:vAlign w:val="center"/>
                  <w:hideMark/>
                </w:tcPr>
                <w:p w14:paraId="52280F3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4.79 </w:t>
                  </w:r>
                </w:p>
              </w:tc>
              <w:tc>
                <w:tcPr>
                  <w:tcW w:w="942" w:type="dxa"/>
                  <w:tcBorders>
                    <w:top w:val="nil"/>
                    <w:left w:val="nil"/>
                    <w:bottom w:val="single" w:sz="8" w:space="0" w:color="FFFFFF"/>
                    <w:right w:val="single" w:sz="8" w:space="0" w:color="FFFFFF"/>
                  </w:tcBorders>
                  <w:shd w:val="clear" w:color="000000" w:fill="FCD5B4"/>
                  <w:noWrap/>
                  <w:vAlign w:val="center"/>
                  <w:hideMark/>
                </w:tcPr>
                <w:p w14:paraId="65DD88A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6.96 </w:t>
                  </w:r>
                </w:p>
              </w:tc>
              <w:tc>
                <w:tcPr>
                  <w:tcW w:w="1197" w:type="dxa"/>
                  <w:tcBorders>
                    <w:top w:val="nil"/>
                    <w:left w:val="nil"/>
                    <w:bottom w:val="single" w:sz="8" w:space="0" w:color="FFFFFF"/>
                    <w:right w:val="single" w:sz="8" w:space="0" w:color="FFFFFF"/>
                  </w:tcBorders>
                  <w:shd w:val="clear" w:color="000000" w:fill="FCD5B4"/>
                  <w:noWrap/>
                  <w:vAlign w:val="center"/>
                  <w:hideMark/>
                </w:tcPr>
                <w:p w14:paraId="7ED135CD"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687" w:type="dxa"/>
                  <w:tcBorders>
                    <w:top w:val="nil"/>
                    <w:left w:val="nil"/>
                    <w:bottom w:val="single" w:sz="8" w:space="0" w:color="FFFFFF"/>
                    <w:right w:val="single" w:sz="8" w:space="0" w:color="FFFFFF"/>
                  </w:tcBorders>
                  <w:shd w:val="clear" w:color="000000" w:fill="FCD5B4"/>
                  <w:noWrap/>
                  <w:vAlign w:val="center"/>
                  <w:hideMark/>
                </w:tcPr>
                <w:p w14:paraId="3B09FB5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0.78 </w:t>
                  </w:r>
                </w:p>
              </w:tc>
              <w:tc>
                <w:tcPr>
                  <w:tcW w:w="942" w:type="dxa"/>
                  <w:tcBorders>
                    <w:top w:val="nil"/>
                    <w:left w:val="nil"/>
                    <w:bottom w:val="single" w:sz="8" w:space="0" w:color="FFFFFF"/>
                    <w:right w:val="single" w:sz="8" w:space="0" w:color="FFFFFF"/>
                  </w:tcBorders>
                  <w:shd w:val="clear" w:color="000000" w:fill="FCD5B4"/>
                  <w:noWrap/>
                  <w:vAlign w:val="center"/>
                  <w:hideMark/>
                </w:tcPr>
                <w:p w14:paraId="08FB70C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1.22 </w:t>
                  </w:r>
                </w:p>
              </w:tc>
              <w:tc>
                <w:tcPr>
                  <w:tcW w:w="942" w:type="dxa"/>
                  <w:tcBorders>
                    <w:top w:val="nil"/>
                    <w:left w:val="nil"/>
                    <w:bottom w:val="single" w:sz="8" w:space="0" w:color="FFFFFF"/>
                    <w:right w:val="single" w:sz="8" w:space="0" w:color="FFFFFF"/>
                  </w:tcBorders>
                  <w:shd w:val="clear" w:color="000000" w:fill="FCD5B4"/>
                  <w:noWrap/>
                  <w:vAlign w:val="center"/>
                  <w:hideMark/>
                </w:tcPr>
                <w:p w14:paraId="3121482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1.73 </w:t>
                  </w:r>
                </w:p>
              </w:tc>
              <w:tc>
                <w:tcPr>
                  <w:tcW w:w="942" w:type="dxa"/>
                  <w:tcBorders>
                    <w:top w:val="nil"/>
                    <w:left w:val="nil"/>
                    <w:bottom w:val="single" w:sz="8" w:space="0" w:color="FFFFFF"/>
                    <w:right w:val="single" w:sz="8" w:space="0" w:color="FFFFFF"/>
                  </w:tcBorders>
                  <w:shd w:val="clear" w:color="000000" w:fill="FCD5B4"/>
                  <w:noWrap/>
                  <w:vAlign w:val="center"/>
                  <w:hideMark/>
                </w:tcPr>
                <w:p w14:paraId="64DA925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3.90 </w:t>
                  </w:r>
                </w:p>
              </w:tc>
            </w:tr>
            <w:tr w:rsidR="00453A8C" w:rsidRPr="00453A8C" w14:paraId="53C554A2"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8F3BD7A"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79B8C07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3.65 </w:t>
                  </w:r>
                </w:p>
              </w:tc>
              <w:tc>
                <w:tcPr>
                  <w:tcW w:w="942" w:type="dxa"/>
                  <w:tcBorders>
                    <w:top w:val="nil"/>
                    <w:left w:val="nil"/>
                    <w:bottom w:val="single" w:sz="8" w:space="0" w:color="FFFFFF"/>
                    <w:right w:val="single" w:sz="8" w:space="0" w:color="FFFFFF"/>
                  </w:tcBorders>
                  <w:shd w:val="clear" w:color="000000" w:fill="FDE9D9"/>
                  <w:noWrap/>
                  <w:vAlign w:val="center"/>
                  <w:hideMark/>
                </w:tcPr>
                <w:p w14:paraId="3FBBA80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3.87 </w:t>
                  </w:r>
                </w:p>
              </w:tc>
              <w:tc>
                <w:tcPr>
                  <w:tcW w:w="942" w:type="dxa"/>
                  <w:tcBorders>
                    <w:top w:val="nil"/>
                    <w:left w:val="nil"/>
                    <w:bottom w:val="single" w:sz="8" w:space="0" w:color="FFFFFF"/>
                    <w:right w:val="single" w:sz="8" w:space="0" w:color="FFFFFF"/>
                  </w:tcBorders>
                  <w:shd w:val="clear" w:color="000000" w:fill="FDE9D9"/>
                  <w:noWrap/>
                  <w:vAlign w:val="center"/>
                  <w:hideMark/>
                </w:tcPr>
                <w:p w14:paraId="1D2B2EC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4.34 </w:t>
                  </w:r>
                </w:p>
              </w:tc>
              <w:tc>
                <w:tcPr>
                  <w:tcW w:w="942" w:type="dxa"/>
                  <w:tcBorders>
                    <w:top w:val="nil"/>
                    <w:left w:val="nil"/>
                    <w:bottom w:val="single" w:sz="8" w:space="0" w:color="FFFFFF"/>
                    <w:right w:val="single" w:sz="8" w:space="0" w:color="FFFFFF"/>
                  </w:tcBorders>
                  <w:shd w:val="clear" w:color="000000" w:fill="FDE9D9"/>
                  <w:noWrap/>
                  <w:vAlign w:val="center"/>
                  <w:hideMark/>
                </w:tcPr>
                <w:p w14:paraId="1CAE4E4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6.56 </w:t>
                  </w:r>
                </w:p>
              </w:tc>
              <w:tc>
                <w:tcPr>
                  <w:tcW w:w="1197" w:type="dxa"/>
                  <w:tcBorders>
                    <w:top w:val="nil"/>
                    <w:left w:val="nil"/>
                    <w:bottom w:val="single" w:sz="8" w:space="0" w:color="FFFFFF"/>
                    <w:right w:val="single" w:sz="8" w:space="0" w:color="FFFFFF"/>
                  </w:tcBorders>
                  <w:shd w:val="clear" w:color="000000" w:fill="FDE9D9"/>
                  <w:noWrap/>
                  <w:vAlign w:val="center"/>
                  <w:hideMark/>
                </w:tcPr>
                <w:p w14:paraId="65FDC64B"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687" w:type="dxa"/>
                  <w:tcBorders>
                    <w:top w:val="nil"/>
                    <w:left w:val="nil"/>
                    <w:bottom w:val="single" w:sz="8" w:space="0" w:color="FFFFFF"/>
                    <w:right w:val="single" w:sz="8" w:space="0" w:color="FFFFFF"/>
                  </w:tcBorders>
                  <w:shd w:val="clear" w:color="000000" w:fill="FDE9D9"/>
                  <w:noWrap/>
                  <w:vAlign w:val="center"/>
                  <w:hideMark/>
                </w:tcPr>
                <w:p w14:paraId="53AD168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0.74 </w:t>
                  </w:r>
                </w:p>
              </w:tc>
              <w:tc>
                <w:tcPr>
                  <w:tcW w:w="942" w:type="dxa"/>
                  <w:tcBorders>
                    <w:top w:val="nil"/>
                    <w:left w:val="nil"/>
                    <w:bottom w:val="single" w:sz="8" w:space="0" w:color="FFFFFF"/>
                    <w:right w:val="single" w:sz="8" w:space="0" w:color="FFFFFF"/>
                  </w:tcBorders>
                  <w:shd w:val="clear" w:color="000000" w:fill="FDE9D9"/>
                  <w:noWrap/>
                  <w:vAlign w:val="center"/>
                  <w:hideMark/>
                </w:tcPr>
                <w:p w14:paraId="3246B08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0.96 </w:t>
                  </w:r>
                </w:p>
              </w:tc>
              <w:tc>
                <w:tcPr>
                  <w:tcW w:w="942" w:type="dxa"/>
                  <w:tcBorders>
                    <w:top w:val="nil"/>
                    <w:left w:val="nil"/>
                    <w:bottom w:val="single" w:sz="8" w:space="0" w:color="FFFFFF"/>
                    <w:right w:val="single" w:sz="8" w:space="0" w:color="FFFFFF"/>
                  </w:tcBorders>
                  <w:shd w:val="clear" w:color="000000" w:fill="FDE9D9"/>
                  <w:noWrap/>
                  <w:vAlign w:val="center"/>
                  <w:hideMark/>
                </w:tcPr>
                <w:p w14:paraId="5CEF29A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1.43 </w:t>
                  </w:r>
                </w:p>
              </w:tc>
              <w:tc>
                <w:tcPr>
                  <w:tcW w:w="942" w:type="dxa"/>
                  <w:tcBorders>
                    <w:top w:val="nil"/>
                    <w:left w:val="nil"/>
                    <w:bottom w:val="single" w:sz="8" w:space="0" w:color="FFFFFF"/>
                    <w:right w:val="single" w:sz="8" w:space="0" w:color="FFFFFF"/>
                  </w:tcBorders>
                  <w:shd w:val="clear" w:color="000000" w:fill="FDE9D9"/>
                  <w:noWrap/>
                  <w:vAlign w:val="center"/>
                  <w:hideMark/>
                </w:tcPr>
                <w:p w14:paraId="5E1E844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3.65 </w:t>
                  </w:r>
                </w:p>
              </w:tc>
            </w:tr>
            <w:tr w:rsidR="00453A8C" w:rsidRPr="00453A8C" w14:paraId="170D57DB"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44CB792"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1E2B4B6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3.86 </w:t>
                  </w:r>
                </w:p>
              </w:tc>
              <w:tc>
                <w:tcPr>
                  <w:tcW w:w="942" w:type="dxa"/>
                  <w:tcBorders>
                    <w:top w:val="nil"/>
                    <w:left w:val="nil"/>
                    <w:bottom w:val="single" w:sz="8" w:space="0" w:color="FFFFFF"/>
                    <w:right w:val="single" w:sz="8" w:space="0" w:color="FFFFFF"/>
                  </w:tcBorders>
                  <w:shd w:val="clear" w:color="000000" w:fill="FCD5B4"/>
                  <w:noWrap/>
                  <w:vAlign w:val="center"/>
                  <w:hideMark/>
                </w:tcPr>
                <w:p w14:paraId="7DF7C54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4.10 </w:t>
                  </w:r>
                </w:p>
              </w:tc>
              <w:tc>
                <w:tcPr>
                  <w:tcW w:w="942" w:type="dxa"/>
                  <w:tcBorders>
                    <w:top w:val="nil"/>
                    <w:left w:val="nil"/>
                    <w:bottom w:val="single" w:sz="8" w:space="0" w:color="FFFFFF"/>
                    <w:right w:val="single" w:sz="8" w:space="0" w:color="FFFFFF"/>
                  </w:tcBorders>
                  <w:shd w:val="clear" w:color="000000" w:fill="FCD5B4"/>
                  <w:noWrap/>
                  <w:vAlign w:val="center"/>
                  <w:hideMark/>
                </w:tcPr>
                <w:p w14:paraId="2558AE2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4.58 </w:t>
                  </w:r>
                </w:p>
              </w:tc>
              <w:tc>
                <w:tcPr>
                  <w:tcW w:w="942" w:type="dxa"/>
                  <w:tcBorders>
                    <w:top w:val="nil"/>
                    <w:left w:val="nil"/>
                    <w:bottom w:val="single" w:sz="8" w:space="0" w:color="FFFFFF"/>
                    <w:right w:val="single" w:sz="8" w:space="0" w:color="FFFFFF"/>
                  </w:tcBorders>
                  <w:shd w:val="clear" w:color="000000" w:fill="FCD5B4"/>
                  <w:noWrap/>
                  <w:vAlign w:val="center"/>
                  <w:hideMark/>
                </w:tcPr>
                <w:p w14:paraId="561DFB3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6.80 </w:t>
                  </w:r>
                </w:p>
              </w:tc>
              <w:tc>
                <w:tcPr>
                  <w:tcW w:w="1197" w:type="dxa"/>
                  <w:tcBorders>
                    <w:top w:val="nil"/>
                    <w:left w:val="nil"/>
                    <w:bottom w:val="single" w:sz="8" w:space="0" w:color="FFFFFF"/>
                    <w:right w:val="single" w:sz="8" w:space="0" w:color="FFFFFF"/>
                  </w:tcBorders>
                  <w:shd w:val="clear" w:color="000000" w:fill="FCD5B4"/>
                  <w:noWrap/>
                  <w:vAlign w:val="center"/>
                  <w:hideMark/>
                </w:tcPr>
                <w:p w14:paraId="573A454A"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687" w:type="dxa"/>
                  <w:tcBorders>
                    <w:top w:val="nil"/>
                    <w:left w:val="nil"/>
                    <w:bottom w:val="single" w:sz="8" w:space="0" w:color="FFFFFF"/>
                    <w:right w:val="single" w:sz="8" w:space="0" w:color="FFFFFF"/>
                  </w:tcBorders>
                  <w:shd w:val="clear" w:color="000000" w:fill="FCD5B4"/>
                  <w:noWrap/>
                  <w:vAlign w:val="center"/>
                  <w:hideMark/>
                </w:tcPr>
                <w:p w14:paraId="7181147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0.79 </w:t>
                  </w:r>
                </w:p>
              </w:tc>
              <w:tc>
                <w:tcPr>
                  <w:tcW w:w="942" w:type="dxa"/>
                  <w:tcBorders>
                    <w:top w:val="nil"/>
                    <w:left w:val="nil"/>
                    <w:bottom w:val="single" w:sz="8" w:space="0" w:color="FFFFFF"/>
                    <w:right w:val="single" w:sz="8" w:space="0" w:color="FFFFFF"/>
                  </w:tcBorders>
                  <w:shd w:val="clear" w:color="000000" w:fill="FCD5B4"/>
                  <w:noWrap/>
                  <w:vAlign w:val="center"/>
                  <w:hideMark/>
                </w:tcPr>
                <w:p w14:paraId="7FFA878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1.03 </w:t>
                  </w:r>
                </w:p>
              </w:tc>
              <w:tc>
                <w:tcPr>
                  <w:tcW w:w="942" w:type="dxa"/>
                  <w:tcBorders>
                    <w:top w:val="nil"/>
                    <w:left w:val="nil"/>
                    <w:bottom w:val="single" w:sz="8" w:space="0" w:color="FFFFFF"/>
                    <w:right w:val="single" w:sz="8" w:space="0" w:color="FFFFFF"/>
                  </w:tcBorders>
                  <w:shd w:val="clear" w:color="000000" w:fill="FCD5B4"/>
                  <w:noWrap/>
                  <w:vAlign w:val="center"/>
                  <w:hideMark/>
                </w:tcPr>
                <w:p w14:paraId="492EE4C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1.51 </w:t>
                  </w:r>
                </w:p>
              </w:tc>
              <w:tc>
                <w:tcPr>
                  <w:tcW w:w="942" w:type="dxa"/>
                  <w:tcBorders>
                    <w:top w:val="nil"/>
                    <w:left w:val="nil"/>
                    <w:bottom w:val="single" w:sz="8" w:space="0" w:color="FFFFFF"/>
                    <w:right w:val="single" w:sz="8" w:space="0" w:color="FFFFFF"/>
                  </w:tcBorders>
                  <w:shd w:val="clear" w:color="000000" w:fill="FCD5B4"/>
                  <w:noWrap/>
                  <w:vAlign w:val="center"/>
                  <w:hideMark/>
                </w:tcPr>
                <w:p w14:paraId="270C1EF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3.73 </w:t>
                  </w:r>
                </w:p>
              </w:tc>
            </w:tr>
            <w:tr w:rsidR="00453A8C" w:rsidRPr="00453A8C" w14:paraId="06F42C55"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75F029C6"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197F7A2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3.96 </w:t>
                  </w:r>
                </w:p>
              </w:tc>
              <w:tc>
                <w:tcPr>
                  <w:tcW w:w="942" w:type="dxa"/>
                  <w:tcBorders>
                    <w:top w:val="nil"/>
                    <w:left w:val="nil"/>
                    <w:bottom w:val="single" w:sz="8" w:space="0" w:color="FFFFFF"/>
                    <w:right w:val="single" w:sz="8" w:space="0" w:color="FFFFFF"/>
                  </w:tcBorders>
                  <w:shd w:val="clear" w:color="000000" w:fill="FDE9D9"/>
                  <w:noWrap/>
                  <w:vAlign w:val="center"/>
                  <w:hideMark/>
                </w:tcPr>
                <w:p w14:paraId="4A7D1EB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4.24 </w:t>
                  </w:r>
                </w:p>
              </w:tc>
              <w:tc>
                <w:tcPr>
                  <w:tcW w:w="942" w:type="dxa"/>
                  <w:tcBorders>
                    <w:top w:val="nil"/>
                    <w:left w:val="nil"/>
                    <w:bottom w:val="single" w:sz="8" w:space="0" w:color="FFFFFF"/>
                    <w:right w:val="single" w:sz="8" w:space="0" w:color="FFFFFF"/>
                  </w:tcBorders>
                  <w:shd w:val="clear" w:color="000000" w:fill="FDE9D9"/>
                  <w:noWrap/>
                  <w:vAlign w:val="center"/>
                  <w:hideMark/>
                </w:tcPr>
                <w:p w14:paraId="3D109E2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4.75 </w:t>
                  </w:r>
                </w:p>
              </w:tc>
              <w:tc>
                <w:tcPr>
                  <w:tcW w:w="942" w:type="dxa"/>
                  <w:tcBorders>
                    <w:top w:val="nil"/>
                    <w:left w:val="nil"/>
                    <w:bottom w:val="single" w:sz="8" w:space="0" w:color="FFFFFF"/>
                    <w:right w:val="single" w:sz="8" w:space="0" w:color="FFFFFF"/>
                  </w:tcBorders>
                  <w:shd w:val="clear" w:color="000000" w:fill="FDE9D9"/>
                  <w:noWrap/>
                  <w:vAlign w:val="center"/>
                  <w:hideMark/>
                </w:tcPr>
                <w:p w14:paraId="418F730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6.97 </w:t>
                  </w:r>
                </w:p>
              </w:tc>
              <w:tc>
                <w:tcPr>
                  <w:tcW w:w="1197" w:type="dxa"/>
                  <w:tcBorders>
                    <w:top w:val="nil"/>
                    <w:left w:val="nil"/>
                    <w:bottom w:val="single" w:sz="8" w:space="0" w:color="FFFFFF"/>
                    <w:right w:val="single" w:sz="8" w:space="0" w:color="FFFFFF"/>
                  </w:tcBorders>
                  <w:shd w:val="clear" w:color="000000" w:fill="FDE9D9"/>
                  <w:noWrap/>
                  <w:vAlign w:val="center"/>
                  <w:hideMark/>
                </w:tcPr>
                <w:p w14:paraId="373C332D"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687" w:type="dxa"/>
                  <w:tcBorders>
                    <w:top w:val="nil"/>
                    <w:left w:val="nil"/>
                    <w:bottom w:val="single" w:sz="8" w:space="0" w:color="FFFFFF"/>
                    <w:right w:val="single" w:sz="8" w:space="0" w:color="FFFFFF"/>
                  </w:tcBorders>
                  <w:shd w:val="clear" w:color="000000" w:fill="FDE9D9"/>
                  <w:noWrap/>
                  <w:vAlign w:val="center"/>
                  <w:hideMark/>
                </w:tcPr>
                <w:p w14:paraId="1B840D3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0.76 </w:t>
                  </w:r>
                </w:p>
              </w:tc>
              <w:tc>
                <w:tcPr>
                  <w:tcW w:w="942" w:type="dxa"/>
                  <w:tcBorders>
                    <w:top w:val="nil"/>
                    <w:left w:val="nil"/>
                    <w:bottom w:val="single" w:sz="8" w:space="0" w:color="FFFFFF"/>
                    <w:right w:val="single" w:sz="8" w:space="0" w:color="FFFFFF"/>
                  </w:tcBorders>
                  <w:shd w:val="clear" w:color="000000" w:fill="FDE9D9"/>
                  <w:noWrap/>
                  <w:vAlign w:val="center"/>
                  <w:hideMark/>
                </w:tcPr>
                <w:p w14:paraId="33FB652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1.04 </w:t>
                  </w:r>
                </w:p>
              </w:tc>
              <w:tc>
                <w:tcPr>
                  <w:tcW w:w="942" w:type="dxa"/>
                  <w:tcBorders>
                    <w:top w:val="nil"/>
                    <w:left w:val="nil"/>
                    <w:bottom w:val="single" w:sz="8" w:space="0" w:color="FFFFFF"/>
                    <w:right w:val="single" w:sz="8" w:space="0" w:color="FFFFFF"/>
                  </w:tcBorders>
                  <w:shd w:val="clear" w:color="000000" w:fill="FDE9D9"/>
                  <w:noWrap/>
                  <w:vAlign w:val="center"/>
                  <w:hideMark/>
                </w:tcPr>
                <w:p w14:paraId="4E6433C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1.55 </w:t>
                  </w:r>
                </w:p>
              </w:tc>
              <w:tc>
                <w:tcPr>
                  <w:tcW w:w="942" w:type="dxa"/>
                  <w:tcBorders>
                    <w:top w:val="nil"/>
                    <w:left w:val="nil"/>
                    <w:bottom w:val="single" w:sz="8" w:space="0" w:color="FFFFFF"/>
                    <w:right w:val="single" w:sz="8" w:space="0" w:color="FFFFFF"/>
                  </w:tcBorders>
                  <w:shd w:val="clear" w:color="000000" w:fill="FDE9D9"/>
                  <w:noWrap/>
                  <w:vAlign w:val="center"/>
                  <w:hideMark/>
                </w:tcPr>
                <w:p w14:paraId="752426D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3.77 </w:t>
                  </w:r>
                </w:p>
              </w:tc>
            </w:tr>
            <w:tr w:rsidR="00453A8C" w:rsidRPr="00453A8C" w14:paraId="5552C3F0"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60555AF8"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458FCEB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3.69 </w:t>
                  </w:r>
                </w:p>
              </w:tc>
              <w:tc>
                <w:tcPr>
                  <w:tcW w:w="942" w:type="dxa"/>
                  <w:tcBorders>
                    <w:top w:val="nil"/>
                    <w:left w:val="nil"/>
                    <w:bottom w:val="single" w:sz="8" w:space="0" w:color="FFFFFF"/>
                    <w:right w:val="single" w:sz="8" w:space="0" w:color="FFFFFF"/>
                  </w:tcBorders>
                  <w:shd w:val="clear" w:color="000000" w:fill="FCD5B4"/>
                  <w:noWrap/>
                  <w:vAlign w:val="center"/>
                  <w:hideMark/>
                </w:tcPr>
                <w:p w14:paraId="38FAD8B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3.87 </w:t>
                  </w:r>
                </w:p>
              </w:tc>
              <w:tc>
                <w:tcPr>
                  <w:tcW w:w="942" w:type="dxa"/>
                  <w:tcBorders>
                    <w:top w:val="nil"/>
                    <w:left w:val="nil"/>
                    <w:bottom w:val="single" w:sz="8" w:space="0" w:color="FFFFFF"/>
                    <w:right w:val="single" w:sz="8" w:space="0" w:color="FFFFFF"/>
                  </w:tcBorders>
                  <w:shd w:val="clear" w:color="000000" w:fill="FCD5B4"/>
                  <w:noWrap/>
                  <w:vAlign w:val="center"/>
                  <w:hideMark/>
                </w:tcPr>
                <w:p w14:paraId="0A57C25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4.14 </w:t>
                  </w:r>
                </w:p>
              </w:tc>
              <w:tc>
                <w:tcPr>
                  <w:tcW w:w="942" w:type="dxa"/>
                  <w:tcBorders>
                    <w:top w:val="nil"/>
                    <w:left w:val="nil"/>
                    <w:bottom w:val="single" w:sz="8" w:space="0" w:color="FFFFFF"/>
                    <w:right w:val="single" w:sz="8" w:space="0" w:color="FFFFFF"/>
                  </w:tcBorders>
                  <w:shd w:val="clear" w:color="000000" w:fill="FCD5B4"/>
                  <w:noWrap/>
                  <w:vAlign w:val="center"/>
                  <w:hideMark/>
                </w:tcPr>
                <w:p w14:paraId="63C7346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6.38 </w:t>
                  </w:r>
                </w:p>
              </w:tc>
              <w:tc>
                <w:tcPr>
                  <w:tcW w:w="1197" w:type="dxa"/>
                  <w:tcBorders>
                    <w:top w:val="nil"/>
                    <w:left w:val="nil"/>
                    <w:bottom w:val="single" w:sz="8" w:space="0" w:color="FFFFFF"/>
                    <w:right w:val="single" w:sz="8" w:space="0" w:color="FFFFFF"/>
                  </w:tcBorders>
                  <w:shd w:val="clear" w:color="000000" w:fill="FCD5B4"/>
                  <w:noWrap/>
                  <w:vAlign w:val="center"/>
                  <w:hideMark/>
                </w:tcPr>
                <w:p w14:paraId="6C3176F4"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687" w:type="dxa"/>
                  <w:tcBorders>
                    <w:top w:val="nil"/>
                    <w:left w:val="nil"/>
                    <w:bottom w:val="single" w:sz="8" w:space="0" w:color="FFFFFF"/>
                    <w:right w:val="single" w:sz="8" w:space="0" w:color="FFFFFF"/>
                  </w:tcBorders>
                  <w:shd w:val="clear" w:color="000000" w:fill="FCD5B4"/>
                  <w:noWrap/>
                  <w:vAlign w:val="center"/>
                  <w:hideMark/>
                </w:tcPr>
                <w:p w14:paraId="40AD694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0.78 </w:t>
                  </w:r>
                </w:p>
              </w:tc>
              <w:tc>
                <w:tcPr>
                  <w:tcW w:w="942" w:type="dxa"/>
                  <w:tcBorders>
                    <w:top w:val="nil"/>
                    <w:left w:val="nil"/>
                    <w:bottom w:val="single" w:sz="8" w:space="0" w:color="FFFFFF"/>
                    <w:right w:val="single" w:sz="8" w:space="0" w:color="FFFFFF"/>
                  </w:tcBorders>
                  <w:shd w:val="clear" w:color="000000" w:fill="FCD5B4"/>
                  <w:noWrap/>
                  <w:vAlign w:val="center"/>
                  <w:hideMark/>
                </w:tcPr>
                <w:p w14:paraId="57AD6FC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0.96 </w:t>
                  </w:r>
                </w:p>
              </w:tc>
              <w:tc>
                <w:tcPr>
                  <w:tcW w:w="942" w:type="dxa"/>
                  <w:tcBorders>
                    <w:top w:val="nil"/>
                    <w:left w:val="nil"/>
                    <w:bottom w:val="single" w:sz="8" w:space="0" w:color="FFFFFF"/>
                    <w:right w:val="single" w:sz="8" w:space="0" w:color="FFFFFF"/>
                  </w:tcBorders>
                  <w:shd w:val="clear" w:color="000000" w:fill="FCD5B4"/>
                  <w:noWrap/>
                  <w:vAlign w:val="center"/>
                  <w:hideMark/>
                </w:tcPr>
                <w:p w14:paraId="33A6506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1.22 </w:t>
                  </w:r>
                </w:p>
              </w:tc>
              <w:tc>
                <w:tcPr>
                  <w:tcW w:w="942" w:type="dxa"/>
                  <w:tcBorders>
                    <w:top w:val="nil"/>
                    <w:left w:val="nil"/>
                    <w:bottom w:val="single" w:sz="8" w:space="0" w:color="FFFFFF"/>
                    <w:right w:val="single" w:sz="8" w:space="0" w:color="FFFFFF"/>
                  </w:tcBorders>
                  <w:shd w:val="clear" w:color="000000" w:fill="FCD5B4"/>
                  <w:noWrap/>
                  <w:vAlign w:val="center"/>
                  <w:hideMark/>
                </w:tcPr>
                <w:p w14:paraId="0E6860B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3.46 </w:t>
                  </w:r>
                </w:p>
              </w:tc>
            </w:tr>
            <w:tr w:rsidR="00453A8C" w:rsidRPr="00453A8C" w14:paraId="55FB30AD"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6333B344"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517112D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3.87 </w:t>
                  </w:r>
                </w:p>
              </w:tc>
              <w:tc>
                <w:tcPr>
                  <w:tcW w:w="942" w:type="dxa"/>
                  <w:tcBorders>
                    <w:top w:val="nil"/>
                    <w:left w:val="nil"/>
                    <w:bottom w:val="single" w:sz="8" w:space="0" w:color="FFFFFF"/>
                    <w:right w:val="single" w:sz="8" w:space="0" w:color="FFFFFF"/>
                  </w:tcBorders>
                  <w:shd w:val="clear" w:color="000000" w:fill="FDE9D9"/>
                  <w:noWrap/>
                  <w:vAlign w:val="center"/>
                  <w:hideMark/>
                </w:tcPr>
                <w:p w14:paraId="79EBB0F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4.24 </w:t>
                  </w:r>
                </w:p>
              </w:tc>
              <w:tc>
                <w:tcPr>
                  <w:tcW w:w="942" w:type="dxa"/>
                  <w:tcBorders>
                    <w:top w:val="nil"/>
                    <w:left w:val="nil"/>
                    <w:bottom w:val="single" w:sz="8" w:space="0" w:color="FFFFFF"/>
                    <w:right w:val="single" w:sz="8" w:space="0" w:color="FFFFFF"/>
                  </w:tcBorders>
                  <w:shd w:val="clear" w:color="000000" w:fill="FDE9D9"/>
                  <w:noWrap/>
                  <w:vAlign w:val="center"/>
                  <w:hideMark/>
                </w:tcPr>
                <w:p w14:paraId="61F0FA2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4.60 </w:t>
                  </w:r>
                </w:p>
              </w:tc>
              <w:tc>
                <w:tcPr>
                  <w:tcW w:w="942" w:type="dxa"/>
                  <w:tcBorders>
                    <w:top w:val="nil"/>
                    <w:left w:val="nil"/>
                    <w:bottom w:val="single" w:sz="8" w:space="0" w:color="FFFFFF"/>
                    <w:right w:val="single" w:sz="8" w:space="0" w:color="FFFFFF"/>
                  </w:tcBorders>
                  <w:shd w:val="clear" w:color="000000" w:fill="FDE9D9"/>
                  <w:noWrap/>
                  <w:vAlign w:val="center"/>
                  <w:hideMark/>
                </w:tcPr>
                <w:p w14:paraId="74B97EE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7.03 </w:t>
                  </w:r>
                </w:p>
              </w:tc>
              <w:tc>
                <w:tcPr>
                  <w:tcW w:w="1197" w:type="dxa"/>
                  <w:tcBorders>
                    <w:top w:val="nil"/>
                    <w:left w:val="nil"/>
                    <w:bottom w:val="single" w:sz="8" w:space="0" w:color="FFFFFF"/>
                    <w:right w:val="single" w:sz="8" w:space="0" w:color="FFFFFF"/>
                  </w:tcBorders>
                  <w:shd w:val="clear" w:color="000000" w:fill="FDE9D9"/>
                  <w:noWrap/>
                  <w:vAlign w:val="center"/>
                  <w:hideMark/>
                </w:tcPr>
                <w:p w14:paraId="0B469B32"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687" w:type="dxa"/>
                  <w:tcBorders>
                    <w:top w:val="nil"/>
                    <w:left w:val="nil"/>
                    <w:bottom w:val="single" w:sz="8" w:space="0" w:color="FFFFFF"/>
                    <w:right w:val="single" w:sz="8" w:space="0" w:color="FFFFFF"/>
                  </w:tcBorders>
                  <w:shd w:val="clear" w:color="000000" w:fill="FDE9D9"/>
                  <w:noWrap/>
                  <w:vAlign w:val="center"/>
                  <w:hideMark/>
                </w:tcPr>
                <w:p w14:paraId="2EBC8C0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0.80 </w:t>
                  </w:r>
                </w:p>
              </w:tc>
              <w:tc>
                <w:tcPr>
                  <w:tcW w:w="942" w:type="dxa"/>
                  <w:tcBorders>
                    <w:top w:val="nil"/>
                    <w:left w:val="nil"/>
                    <w:bottom w:val="single" w:sz="8" w:space="0" w:color="FFFFFF"/>
                    <w:right w:val="single" w:sz="8" w:space="0" w:color="FFFFFF"/>
                  </w:tcBorders>
                  <w:shd w:val="clear" w:color="000000" w:fill="FDE9D9"/>
                  <w:noWrap/>
                  <w:vAlign w:val="center"/>
                  <w:hideMark/>
                </w:tcPr>
                <w:p w14:paraId="1254D19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1.17 </w:t>
                  </w:r>
                </w:p>
              </w:tc>
              <w:tc>
                <w:tcPr>
                  <w:tcW w:w="942" w:type="dxa"/>
                  <w:tcBorders>
                    <w:top w:val="nil"/>
                    <w:left w:val="nil"/>
                    <w:bottom w:val="single" w:sz="8" w:space="0" w:color="FFFFFF"/>
                    <w:right w:val="single" w:sz="8" w:space="0" w:color="FFFFFF"/>
                  </w:tcBorders>
                  <w:shd w:val="clear" w:color="000000" w:fill="FDE9D9"/>
                  <w:noWrap/>
                  <w:vAlign w:val="center"/>
                  <w:hideMark/>
                </w:tcPr>
                <w:p w14:paraId="5AF9810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1.53 </w:t>
                  </w:r>
                </w:p>
              </w:tc>
              <w:tc>
                <w:tcPr>
                  <w:tcW w:w="942" w:type="dxa"/>
                  <w:tcBorders>
                    <w:top w:val="nil"/>
                    <w:left w:val="nil"/>
                    <w:bottom w:val="single" w:sz="8" w:space="0" w:color="FFFFFF"/>
                    <w:right w:val="single" w:sz="8" w:space="0" w:color="FFFFFF"/>
                  </w:tcBorders>
                  <w:shd w:val="clear" w:color="000000" w:fill="FDE9D9"/>
                  <w:noWrap/>
                  <w:vAlign w:val="center"/>
                  <w:hideMark/>
                </w:tcPr>
                <w:p w14:paraId="30D77DA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3.96 </w:t>
                  </w:r>
                </w:p>
              </w:tc>
            </w:tr>
            <w:tr w:rsidR="00453A8C" w:rsidRPr="00453A8C" w14:paraId="4956EF34" w14:textId="77777777" w:rsidTr="00453A8C">
              <w:trPr>
                <w:trHeight w:val="290"/>
              </w:trPr>
              <w:tc>
                <w:tcPr>
                  <w:tcW w:w="1160" w:type="dxa"/>
                  <w:tcBorders>
                    <w:top w:val="nil"/>
                    <w:left w:val="nil"/>
                    <w:bottom w:val="nil"/>
                    <w:right w:val="nil"/>
                  </w:tcBorders>
                  <w:shd w:val="clear" w:color="000000" w:fill="FCD5B4"/>
                  <w:noWrap/>
                  <w:vAlign w:val="center"/>
                  <w:hideMark/>
                </w:tcPr>
                <w:p w14:paraId="2087369D"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7E46EFB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4.07 </w:t>
                  </w:r>
                </w:p>
              </w:tc>
              <w:tc>
                <w:tcPr>
                  <w:tcW w:w="942" w:type="dxa"/>
                  <w:tcBorders>
                    <w:top w:val="nil"/>
                    <w:left w:val="nil"/>
                    <w:bottom w:val="single" w:sz="8" w:space="0" w:color="FFFFFF"/>
                    <w:right w:val="single" w:sz="8" w:space="0" w:color="FFFFFF"/>
                  </w:tcBorders>
                  <w:shd w:val="clear" w:color="000000" w:fill="FCD5B4"/>
                  <w:noWrap/>
                  <w:vAlign w:val="center"/>
                  <w:hideMark/>
                </w:tcPr>
                <w:p w14:paraId="0268032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4.44 </w:t>
                  </w:r>
                </w:p>
              </w:tc>
              <w:tc>
                <w:tcPr>
                  <w:tcW w:w="942" w:type="dxa"/>
                  <w:tcBorders>
                    <w:top w:val="nil"/>
                    <w:left w:val="nil"/>
                    <w:bottom w:val="single" w:sz="8" w:space="0" w:color="FFFFFF"/>
                    <w:right w:val="single" w:sz="8" w:space="0" w:color="FFFFFF"/>
                  </w:tcBorders>
                  <w:shd w:val="clear" w:color="000000" w:fill="FCD5B4"/>
                  <w:noWrap/>
                  <w:vAlign w:val="center"/>
                  <w:hideMark/>
                </w:tcPr>
                <w:p w14:paraId="6B4E7CD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4.80 </w:t>
                  </w:r>
                </w:p>
              </w:tc>
              <w:tc>
                <w:tcPr>
                  <w:tcW w:w="942" w:type="dxa"/>
                  <w:tcBorders>
                    <w:top w:val="nil"/>
                    <w:left w:val="nil"/>
                    <w:bottom w:val="single" w:sz="8" w:space="0" w:color="FFFFFF"/>
                    <w:right w:val="single" w:sz="8" w:space="0" w:color="FFFFFF"/>
                  </w:tcBorders>
                  <w:shd w:val="clear" w:color="000000" w:fill="FCD5B4"/>
                  <w:noWrap/>
                  <w:vAlign w:val="center"/>
                  <w:hideMark/>
                </w:tcPr>
                <w:p w14:paraId="3D17ED0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7.34 </w:t>
                  </w:r>
                </w:p>
              </w:tc>
              <w:tc>
                <w:tcPr>
                  <w:tcW w:w="1197" w:type="dxa"/>
                  <w:tcBorders>
                    <w:top w:val="nil"/>
                    <w:left w:val="nil"/>
                    <w:bottom w:val="nil"/>
                    <w:right w:val="nil"/>
                  </w:tcBorders>
                  <w:shd w:val="clear" w:color="000000" w:fill="FCD5B4"/>
                  <w:noWrap/>
                  <w:vAlign w:val="center"/>
                  <w:hideMark/>
                </w:tcPr>
                <w:p w14:paraId="59ECAA1D"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687" w:type="dxa"/>
                  <w:tcBorders>
                    <w:top w:val="nil"/>
                    <w:left w:val="nil"/>
                    <w:bottom w:val="single" w:sz="8" w:space="0" w:color="FFFFFF"/>
                    <w:right w:val="single" w:sz="8" w:space="0" w:color="FFFFFF"/>
                  </w:tcBorders>
                  <w:shd w:val="clear" w:color="000000" w:fill="FCD5B4"/>
                  <w:noWrap/>
                  <w:vAlign w:val="center"/>
                  <w:hideMark/>
                </w:tcPr>
                <w:p w14:paraId="6746F77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0.86 </w:t>
                  </w:r>
                </w:p>
              </w:tc>
              <w:tc>
                <w:tcPr>
                  <w:tcW w:w="942" w:type="dxa"/>
                  <w:tcBorders>
                    <w:top w:val="nil"/>
                    <w:left w:val="nil"/>
                    <w:bottom w:val="single" w:sz="8" w:space="0" w:color="FFFFFF"/>
                    <w:right w:val="single" w:sz="8" w:space="0" w:color="FFFFFF"/>
                  </w:tcBorders>
                  <w:shd w:val="clear" w:color="000000" w:fill="FCD5B4"/>
                  <w:noWrap/>
                  <w:vAlign w:val="center"/>
                  <w:hideMark/>
                </w:tcPr>
                <w:p w14:paraId="288FB33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1.23 </w:t>
                  </w:r>
                </w:p>
              </w:tc>
              <w:tc>
                <w:tcPr>
                  <w:tcW w:w="942" w:type="dxa"/>
                  <w:tcBorders>
                    <w:top w:val="nil"/>
                    <w:left w:val="nil"/>
                    <w:bottom w:val="single" w:sz="8" w:space="0" w:color="FFFFFF"/>
                    <w:right w:val="single" w:sz="8" w:space="0" w:color="FFFFFF"/>
                  </w:tcBorders>
                  <w:shd w:val="clear" w:color="000000" w:fill="FCD5B4"/>
                  <w:noWrap/>
                  <w:vAlign w:val="center"/>
                  <w:hideMark/>
                </w:tcPr>
                <w:p w14:paraId="2BDC41C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1.59 </w:t>
                  </w:r>
                </w:p>
              </w:tc>
              <w:tc>
                <w:tcPr>
                  <w:tcW w:w="942" w:type="dxa"/>
                  <w:tcBorders>
                    <w:top w:val="nil"/>
                    <w:left w:val="nil"/>
                    <w:bottom w:val="single" w:sz="8" w:space="0" w:color="FFFFFF"/>
                    <w:right w:val="single" w:sz="8" w:space="0" w:color="FFFFFF"/>
                  </w:tcBorders>
                  <w:shd w:val="clear" w:color="000000" w:fill="FCD5B4"/>
                  <w:noWrap/>
                  <w:vAlign w:val="center"/>
                  <w:hideMark/>
                </w:tcPr>
                <w:p w14:paraId="3BD3D9C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4.13 </w:t>
                  </w:r>
                </w:p>
              </w:tc>
            </w:tr>
            <w:tr w:rsidR="00453A8C" w:rsidRPr="00453A8C" w14:paraId="558DC255" w14:textId="77777777" w:rsidTr="00453A8C">
              <w:trPr>
                <w:trHeight w:val="150"/>
              </w:trPr>
              <w:tc>
                <w:tcPr>
                  <w:tcW w:w="1160" w:type="dxa"/>
                  <w:tcBorders>
                    <w:top w:val="nil"/>
                    <w:left w:val="nil"/>
                    <w:bottom w:val="nil"/>
                    <w:right w:val="nil"/>
                  </w:tcBorders>
                  <w:shd w:val="clear" w:color="auto" w:fill="auto"/>
                  <w:noWrap/>
                  <w:vAlign w:val="center"/>
                  <w:hideMark/>
                </w:tcPr>
                <w:p w14:paraId="2723690C" w14:textId="77777777" w:rsidR="00453A8C" w:rsidRPr="00453A8C" w:rsidRDefault="00453A8C" w:rsidP="00453A8C">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1481ABF5"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4DAE8B21"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C1C4283"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330670B" w14:textId="77777777" w:rsidR="00453A8C" w:rsidRPr="00453A8C" w:rsidRDefault="00453A8C" w:rsidP="00453A8C">
                  <w:pPr>
                    <w:widowControl/>
                    <w:jc w:val="center"/>
                    <w:rPr>
                      <w:rFonts w:ascii="Times New Roman" w:eastAsia="Times New Roman" w:hAnsi="Times New Roman"/>
                      <w:kern w:val="0"/>
                      <w:sz w:val="20"/>
                      <w:szCs w:val="20"/>
                    </w:rPr>
                  </w:pPr>
                </w:p>
              </w:tc>
              <w:tc>
                <w:tcPr>
                  <w:tcW w:w="1197" w:type="dxa"/>
                  <w:tcBorders>
                    <w:top w:val="nil"/>
                    <w:left w:val="nil"/>
                    <w:bottom w:val="nil"/>
                    <w:right w:val="nil"/>
                  </w:tcBorders>
                  <w:shd w:val="clear" w:color="auto" w:fill="auto"/>
                  <w:noWrap/>
                  <w:vAlign w:val="center"/>
                  <w:hideMark/>
                </w:tcPr>
                <w:p w14:paraId="12EDE777" w14:textId="77777777" w:rsidR="00453A8C" w:rsidRPr="00453A8C" w:rsidRDefault="00453A8C" w:rsidP="00453A8C">
                  <w:pPr>
                    <w:widowControl/>
                    <w:jc w:val="center"/>
                    <w:rPr>
                      <w:rFonts w:ascii="Times New Roman" w:eastAsia="Times New Roman" w:hAnsi="Times New Roman"/>
                      <w:kern w:val="0"/>
                      <w:sz w:val="20"/>
                      <w:szCs w:val="20"/>
                    </w:rPr>
                  </w:pPr>
                </w:p>
              </w:tc>
              <w:tc>
                <w:tcPr>
                  <w:tcW w:w="687" w:type="dxa"/>
                  <w:tcBorders>
                    <w:top w:val="nil"/>
                    <w:left w:val="nil"/>
                    <w:bottom w:val="nil"/>
                    <w:right w:val="nil"/>
                  </w:tcBorders>
                  <w:shd w:val="clear" w:color="auto" w:fill="auto"/>
                  <w:noWrap/>
                  <w:vAlign w:val="center"/>
                  <w:hideMark/>
                </w:tcPr>
                <w:p w14:paraId="4BD58B3C"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A4B4FD1"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641E8A9"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98745CD" w14:textId="77777777" w:rsidR="00453A8C" w:rsidRPr="00453A8C" w:rsidRDefault="00453A8C" w:rsidP="00453A8C">
                  <w:pPr>
                    <w:widowControl/>
                    <w:jc w:val="center"/>
                    <w:rPr>
                      <w:rFonts w:ascii="Times New Roman" w:eastAsia="Times New Roman" w:hAnsi="Times New Roman"/>
                      <w:kern w:val="0"/>
                      <w:sz w:val="20"/>
                      <w:szCs w:val="20"/>
                    </w:rPr>
                  </w:pPr>
                </w:p>
              </w:tc>
            </w:tr>
            <w:tr w:rsidR="00453A8C" w:rsidRPr="00453A8C" w14:paraId="43C1F4DC" w14:textId="77777777" w:rsidTr="00453A8C">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3A651045" w14:textId="77777777" w:rsidR="00453A8C" w:rsidRPr="00453A8C" w:rsidRDefault="00453A8C" w:rsidP="00453A8C">
                  <w:pPr>
                    <w:widowControl/>
                    <w:jc w:val="center"/>
                    <w:rPr>
                      <w:rFonts w:ascii="楷体" w:eastAsia="楷体" w:hAnsi="楷体" w:cs="宋体"/>
                      <w:b/>
                      <w:bCs/>
                      <w:color w:val="FFFFFF"/>
                      <w:kern w:val="0"/>
                      <w:sz w:val="20"/>
                      <w:szCs w:val="20"/>
                    </w:rPr>
                  </w:pPr>
                  <w:proofErr w:type="gramStart"/>
                  <w:r w:rsidRPr="00453A8C">
                    <w:rPr>
                      <w:rFonts w:ascii="楷体" w:eastAsia="楷体" w:hAnsi="楷体" w:cs="宋体" w:hint="eastAsia"/>
                      <w:b/>
                      <w:bCs/>
                      <w:color w:val="FFFFFF"/>
                      <w:kern w:val="0"/>
                      <w:sz w:val="20"/>
                      <w:szCs w:val="20"/>
                    </w:rPr>
                    <w:t>周变化</w:t>
                  </w:r>
                  <w:proofErr w:type="gramEnd"/>
                  <w:r w:rsidRPr="00453A8C">
                    <w:rPr>
                      <w:rFonts w:ascii="楷体" w:eastAsia="楷体" w:hAnsi="楷体" w:cs="宋体" w:hint="eastAsia"/>
                      <w:b/>
                      <w:bCs/>
                      <w:color w:val="FFFFFF"/>
                      <w:kern w:val="0"/>
                      <w:sz w:val="20"/>
                      <w:szCs w:val="20"/>
                    </w:rPr>
                    <w:t>(BP)</w:t>
                  </w:r>
                </w:p>
              </w:tc>
              <w:tc>
                <w:tcPr>
                  <w:tcW w:w="942" w:type="dxa"/>
                  <w:tcBorders>
                    <w:top w:val="nil"/>
                    <w:left w:val="nil"/>
                    <w:bottom w:val="single" w:sz="12" w:space="0" w:color="FFFFFF"/>
                    <w:right w:val="single" w:sz="8" w:space="0" w:color="FFFFFF"/>
                  </w:tcBorders>
                  <w:shd w:val="clear" w:color="000000" w:fill="F79646"/>
                  <w:noWrap/>
                  <w:vAlign w:val="center"/>
                  <w:hideMark/>
                </w:tcPr>
                <w:p w14:paraId="522DF54A"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8280A00"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3146DFA"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1CBF0B5"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1197" w:type="dxa"/>
                  <w:tcBorders>
                    <w:top w:val="nil"/>
                    <w:left w:val="nil"/>
                    <w:bottom w:val="single" w:sz="12" w:space="0" w:color="FFFFFF"/>
                    <w:right w:val="single" w:sz="8" w:space="0" w:color="FFFFFF"/>
                  </w:tcBorders>
                  <w:shd w:val="clear" w:color="000000" w:fill="F79646"/>
                  <w:noWrap/>
                  <w:vAlign w:val="center"/>
                  <w:hideMark/>
                </w:tcPr>
                <w:p w14:paraId="07DDFDEA"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息差</w:t>
                  </w:r>
                </w:p>
              </w:tc>
              <w:tc>
                <w:tcPr>
                  <w:tcW w:w="687" w:type="dxa"/>
                  <w:tcBorders>
                    <w:top w:val="nil"/>
                    <w:left w:val="nil"/>
                    <w:bottom w:val="single" w:sz="12" w:space="0" w:color="FFFFFF"/>
                    <w:right w:val="single" w:sz="8" w:space="0" w:color="FFFFFF"/>
                  </w:tcBorders>
                  <w:shd w:val="clear" w:color="000000" w:fill="F79646"/>
                  <w:noWrap/>
                  <w:vAlign w:val="center"/>
                  <w:hideMark/>
                </w:tcPr>
                <w:p w14:paraId="6A62A94A"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6055DF4"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6F241A3"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6CD0EEA"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r>
            <w:tr w:rsidR="00453A8C" w:rsidRPr="00453A8C" w14:paraId="0820566B" w14:textId="77777777" w:rsidTr="00453A8C">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02DB6B33"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36AC3DB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CD5B4"/>
                  <w:noWrap/>
                  <w:vAlign w:val="center"/>
                  <w:hideMark/>
                </w:tcPr>
                <w:p w14:paraId="08C9A76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-0.7 </w:t>
                  </w:r>
                </w:p>
              </w:tc>
              <w:tc>
                <w:tcPr>
                  <w:tcW w:w="942" w:type="dxa"/>
                  <w:tcBorders>
                    <w:top w:val="nil"/>
                    <w:left w:val="nil"/>
                    <w:bottom w:val="single" w:sz="8" w:space="0" w:color="FFFFFF"/>
                    <w:right w:val="single" w:sz="8" w:space="0" w:color="FFFFFF"/>
                  </w:tcBorders>
                  <w:shd w:val="clear" w:color="000000" w:fill="FCD5B4"/>
                  <w:noWrap/>
                  <w:vAlign w:val="center"/>
                  <w:hideMark/>
                </w:tcPr>
                <w:p w14:paraId="3B27CAD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-0.7 </w:t>
                  </w:r>
                </w:p>
              </w:tc>
              <w:tc>
                <w:tcPr>
                  <w:tcW w:w="942" w:type="dxa"/>
                  <w:tcBorders>
                    <w:top w:val="nil"/>
                    <w:left w:val="nil"/>
                    <w:bottom w:val="single" w:sz="8" w:space="0" w:color="FFFFFF"/>
                    <w:right w:val="single" w:sz="8" w:space="0" w:color="FFFFFF"/>
                  </w:tcBorders>
                  <w:shd w:val="clear" w:color="000000" w:fill="FCD5B4"/>
                  <w:noWrap/>
                  <w:vAlign w:val="center"/>
                  <w:hideMark/>
                </w:tcPr>
                <w:p w14:paraId="009CC12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-0.7 </w:t>
                  </w:r>
                </w:p>
              </w:tc>
              <w:tc>
                <w:tcPr>
                  <w:tcW w:w="1197" w:type="dxa"/>
                  <w:tcBorders>
                    <w:top w:val="nil"/>
                    <w:left w:val="nil"/>
                    <w:bottom w:val="single" w:sz="8" w:space="0" w:color="FFFFFF"/>
                    <w:right w:val="single" w:sz="8" w:space="0" w:color="FFFFFF"/>
                  </w:tcBorders>
                  <w:shd w:val="clear" w:color="000000" w:fill="FCD5B4"/>
                  <w:noWrap/>
                  <w:vAlign w:val="center"/>
                  <w:hideMark/>
                </w:tcPr>
                <w:p w14:paraId="18AB5129"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687" w:type="dxa"/>
                  <w:tcBorders>
                    <w:top w:val="nil"/>
                    <w:left w:val="nil"/>
                    <w:bottom w:val="single" w:sz="8" w:space="0" w:color="FFFFFF"/>
                    <w:right w:val="single" w:sz="8" w:space="0" w:color="FFFFFF"/>
                  </w:tcBorders>
                  <w:shd w:val="clear" w:color="000000" w:fill="FCD5B4"/>
                  <w:noWrap/>
                  <w:vAlign w:val="center"/>
                  <w:hideMark/>
                </w:tcPr>
                <w:p w14:paraId="7F5550C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0708170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5C68430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26E05B6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-2.9 </w:t>
                  </w:r>
                </w:p>
              </w:tc>
            </w:tr>
            <w:tr w:rsidR="00453A8C" w:rsidRPr="00453A8C" w14:paraId="32588661"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5B9FF6F9"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22D29FD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3.2 </w:t>
                  </w:r>
                </w:p>
              </w:tc>
              <w:tc>
                <w:tcPr>
                  <w:tcW w:w="942" w:type="dxa"/>
                  <w:tcBorders>
                    <w:top w:val="nil"/>
                    <w:left w:val="nil"/>
                    <w:bottom w:val="single" w:sz="8" w:space="0" w:color="FFFFFF"/>
                    <w:right w:val="single" w:sz="8" w:space="0" w:color="FFFFFF"/>
                  </w:tcBorders>
                  <w:shd w:val="clear" w:color="000000" w:fill="FDE9D9"/>
                  <w:noWrap/>
                  <w:vAlign w:val="center"/>
                  <w:hideMark/>
                </w:tcPr>
                <w:p w14:paraId="054A34A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1.3 </w:t>
                  </w:r>
                </w:p>
              </w:tc>
              <w:tc>
                <w:tcPr>
                  <w:tcW w:w="942" w:type="dxa"/>
                  <w:tcBorders>
                    <w:top w:val="nil"/>
                    <w:left w:val="nil"/>
                    <w:bottom w:val="single" w:sz="8" w:space="0" w:color="FFFFFF"/>
                    <w:right w:val="single" w:sz="8" w:space="0" w:color="FFFFFF"/>
                  </w:tcBorders>
                  <w:shd w:val="clear" w:color="000000" w:fill="FDE9D9"/>
                  <w:noWrap/>
                  <w:vAlign w:val="center"/>
                  <w:hideMark/>
                </w:tcPr>
                <w:p w14:paraId="0AD38E3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2.3 </w:t>
                  </w:r>
                </w:p>
              </w:tc>
              <w:tc>
                <w:tcPr>
                  <w:tcW w:w="942" w:type="dxa"/>
                  <w:tcBorders>
                    <w:top w:val="nil"/>
                    <w:left w:val="nil"/>
                    <w:bottom w:val="single" w:sz="8" w:space="0" w:color="FFFFFF"/>
                    <w:right w:val="single" w:sz="8" w:space="0" w:color="FFFFFF"/>
                  </w:tcBorders>
                  <w:shd w:val="clear" w:color="000000" w:fill="FDE9D9"/>
                  <w:noWrap/>
                  <w:vAlign w:val="center"/>
                  <w:hideMark/>
                </w:tcPr>
                <w:p w14:paraId="7103A4C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2.3 </w:t>
                  </w:r>
                </w:p>
              </w:tc>
              <w:tc>
                <w:tcPr>
                  <w:tcW w:w="1197" w:type="dxa"/>
                  <w:tcBorders>
                    <w:top w:val="nil"/>
                    <w:left w:val="nil"/>
                    <w:bottom w:val="single" w:sz="8" w:space="0" w:color="FFFFFF"/>
                    <w:right w:val="single" w:sz="8" w:space="0" w:color="FFFFFF"/>
                  </w:tcBorders>
                  <w:shd w:val="clear" w:color="000000" w:fill="FDE9D9"/>
                  <w:noWrap/>
                  <w:vAlign w:val="center"/>
                  <w:hideMark/>
                </w:tcPr>
                <w:p w14:paraId="33D4529C"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687" w:type="dxa"/>
                  <w:tcBorders>
                    <w:top w:val="nil"/>
                    <w:left w:val="nil"/>
                    <w:bottom w:val="single" w:sz="8" w:space="0" w:color="FFFFFF"/>
                    <w:right w:val="single" w:sz="8" w:space="0" w:color="FFFFFF"/>
                  </w:tcBorders>
                  <w:shd w:val="clear" w:color="000000" w:fill="FDE9D9"/>
                  <w:noWrap/>
                  <w:vAlign w:val="center"/>
                  <w:hideMark/>
                </w:tcPr>
                <w:p w14:paraId="7372040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0.4 </w:t>
                  </w:r>
                </w:p>
              </w:tc>
              <w:tc>
                <w:tcPr>
                  <w:tcW w:w="942" w:type="dxa"/>
                  <w:tcBorders>
                    <w:top w:val="nil"/>
                    <w:left w:val="nil"/>
                    <w:bottom w:val="single" w:sz="8" w:space="0" w:color="FFFFFF"/>
                    <w:right w:val="single" w:sz="8" w:space="0" w:color="FFFFFF"/>
                  </w:tcBorders>
                  <w:shd w:val="clear" w:color="000000" w:fill="FDE9D9"/>
                  <w:noWrap/>
                  <w:vAlign w:val="center"/>
                  <w:hideMark/>
                </w:tcPr>
                <w:p w14:paraId="7812A80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-1.6 </w:t>
                  </w:r>
                </w:p>
              </w:tc>
              <w:tc>
                <w:tcPr>
                  <w:tcW w:w="942" w:type="dxa"/>
                  <w:tcBorders>
                    <w:top w:val="nil"/>
                    <w:left w:val="nil"/>
                    <w:bottom w:val="single" w:sz="8" w:space="0" w:color="FFFFFF"/>
                    <w:right w:val="single" w:sz="8" w:space="0" w:color="FFFFFF"/>
                  </w:tcBorders>
                  <w:shd w:val="clear" w:color="000000" w:fill="FDE9D9"/>
                  <w:noWrap/>
                  <w:vAlign w:val="center"/>
                  <w:hideMark/>
                </w:tcPr>
                <w:p w14:paraId="7EC5536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-0.6 </w:t>
                  </w:r>
                </w:p>
              </w:tc>
              <w:tc>
                <w:tcPr>
                  <w:tcW w:w="942" w:type="dxa"/>
                  <w:tcBorders>
                    <w:top w:val="nil"/>
                    <w:left w:val="nil"/>
                    <w:bottom w:val="single" w:sz="8" w:space="0" w:color="FFFFFF"/>
                    <w:right w:val="single" w:sz="8" w:space="0" w:color="FFFFFF"/>
                  </w:tcBorders>
                  <w:shd w:val="clear" w:color="000000" w:fill="FDE9D9"/>
                  <w:noWrap/>
                  <w:vAlign w:val="center"/>
                  <w:hideMark/>
                </w:tcPr>
                <w:p w14:paraId="731CC90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-0.6 </w:t>
                  </w:r>
                </w:p>
              </w:tc>
            </w:tr>
            <w:tr w:rsidR="00453A8C" w:rsidRPr="00453A8C" w14:paraId="7EC4421D"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09280EAF"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60C8021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74047D1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1.8 </w:t>
                  </w:r>
                </w:p>
              </w:tc>
              <w:tc>
                <w:tcPr>
                  <w:tcW w:w="942" w:type="dxa"/>
                  <w:tcBorders>
                    <w:top w:val="nil"/>
                    <w:left w:val="nil"/>
                    <w:bottom w:val="single" w:sz="8" w:space="0" w:color="FFFFFF"/>
                    <w:right w:val="single" w:sz="8" w:space="0" w:color="FFFFFF"/>
                  </w:tcBorders>
                  <w:shd w:val="clear" w:color="000000" w:fill="FCD5B4"/>
                  <w:noWrap/>
                  <w:vAlign w:val="center"/>
                  <w:hideMark/>
                </w:tcPr>
                <w:p w14:paraId="6B3F2A8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2.8 </w:t>
                  </w:r>
                </w:p>
              </w:tc>
              <w:tc>
                <w:tcPr>
                  <w:tcW w:w="942" w:type="dxa"/>
                  <w:tcBorders>
                    <w:top w:val="nil"/>
                    <w:left w:val="nil"/>
                    <w:bottom w:val="single" w:sz="8" w:space="0" w:color="FFFFFF"/>
                    <w:right w:val="single" w:sz="8" w:space="0" w:color="FFFFFF"/>
                  </w:tcBorders>
                  <w:shd w:val="clear" w:color="000000" w:fill="FCD5B4"/>
                  <w:noWrap/>
                  <w:vAlign w:val="center"/>
                  <w:hideMark/>
                </w:tcPr>
                <w:p w14:paraId="714E603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2.8 </w:t>
                  </w:r>
                </w:p>
              </w:tc>
              <w:tc>
                <w:tcPr>
                  <w:tcW w:w="1197" w:type="dxa"/>
                  <w:tcBorders>
                    <w:top w:val="nil"/>
                    <w:left w:val="nil"/>
                    <w:bottom w:val="single" w:sz="8" w:space="0" w:color="FFFFFF"/>
                    <w:right w:val="single" w:sz="8" w:space="0" w:color="FFFFFF"/>
                  </w:tcBorders>
                  <w:shd w:val="clear" w:color="000000" w:fill="FCD5B4"/>
                  <w:noWrap/>
                  <w:vAlign w:val="center"/>
                  <w:hideMark/>
                </w:tcPr>
                <w:p w14:paraId="66CE1796"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687" w:type="dxa"/>
                  <w:tcBorders>
                    <w:top w:val="nil"/>
                    <w:left w:val="nil"/>
                    <w:bottom w:val="single" w:sz="8" w:space="0" w:color="FFFFFF"/>
                    <w:right w:val="single" w:sz="8" w:space="0" w:color="FFFFFF"/>
                  </w:tcBorders>
                  <w:shd w:val="clear" w:color="000000" w:fill="FCD5B4"/>
                  <w:noWrap/>
                  <w:vAlign w:val="center"/>
                  <w:hideMark/>
                </w:tcPr>
                <w:p w14:paraId="0B6BCE3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-4.1 </w:t>
                  </w:r>
                </w:p>
              </w:tc>
              <w:tc>
                <w:tcPr>
                  <w:tcW w:w="942" w:type="dxa"/>
                  <w:tcBorders>
                    <w:top w:val="nil"/>
                    <w:left w:val="nil"/>
                    <w:bottom w:val="single" w:sz="8" w:space="0" w:color="FFFFFF"/>
                    <w:right w:val="single" w:sz="8" w:space="0" w:color="FFFFFF"/>
                  </w:tcBorders>
                  <w:shd w:val="clear" w:color="000000" w:fill="FCD5B4"/>
                  <w:noWrap/>
                  <w:vAlign w:val="center"/>
                  <w:hideMark/>
                </w:tcPr>
                <w:p w14:paraId="41D26C4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-5.1 </w:t>
                  </w:r>
                </w:p>
              </w:tc>
              <w:tc>
                <w:tcPr>
                  <w:tcW w:w="942" w:type="dxa"/>
                  <w:tcBorders>
                    <w:top w:val="nil"/>
                    <w:left w:val="nil"/>
                    <w:bottom w:val="single" w:sz="8" w:space="0" w:color="FFFFFF"/>
                    <w:right w:val="single" w:sz="8" w:space="0" w:color="FFFFFF"/>
                  </w:tcBorders>
                  <w:shd w:val="clear" w:color="000000" w:fill="FCD5B4"/>
                  <w:noWrap/>
                  <w:vAlign w:val="center"/>
                  <w:hideMark/>
                </w:tcPr>
                <w:p w14:paraId="4090629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-4.0 </w:t>
                  </w:r>
                </w:p>
              </w:tc>
              <w:tc>
                <w:tcPr>
                  <w:tcW w:w="942" w:type="dxa"/>
                  <w:tcBorders>
                    <w:top w:val="nil"/>
                    <w:left w:val="nil"/>
                    <w:bottom w:val="single" w:sz="8" w:space="0" w:color="FFFFFF"/>
                    <w:right w:val="single" w:sz="8" w:space="0" w:color="FFFFFF"/>
                  </w:tcBorders>
                  <w:shd w:val="clear" w:color="000000" w:fill="FCD5B4"/>
                  <w:noWrap/>
                  <w:vAlign w:val="center"/>
                  <w:hideMark/>
                </w:tcPr>
                <w:p w14:paraId="7E2223C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-4.0 </w:t>
                  </w:r>
                </w:p>
              </w:tc>
            </w:tr>
            <w:tr w:rsidR="00453A8C" w:rsidRPr="00453A8C" w14:paraId="704E02F0"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4A296039"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305D572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3.0 </w:t>
                  </w:r>
                </w:p>
              </w:tc>
              <w:tc>
                <w:tcPr>
                  <w:tcW w:w="942" w:type="dxa"/>
                  <w:tcBorders>
                    <w:top w:val="nil"/>
                    <w:left w:val="nil"/>
                    <w:bottom w:val="single" w:sz="8" w:space="0" w:color="FFFFFF"/>
                    <w:right w:val="single" w:sz="8" w:space="0" w:color="FFFFFF"/>
                  </w:tcBorders>
                  <w:shd w:val="clear" w:color="000000" w:fill="FDE9D9"/>
                  <w:noWrap/>
                  <w:vAlign w:val="center"/>
                  <w:hideMark/>
                </w:tcPr>
                <w:p w14:paraId="07E4607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3.1 </w:t>
                  </w:r>
                </w:p>
              </w:tc>
              <w:tc>
                <w:tcPr>
                  <w:tcW w:w="942" w:type="dxa"/>
                  <w:tcBorders>
                    <w:top w:val="nil"/>
                    <w:left w:val="nil"/>
                    <w:bottom w:val="single" w:sz="8" w:space="0" w:color="FFFFFF"/>
                    <w:right w:val="single" w:sz="8" w:space="0" w:color="FFFFFF"/>
                  </w:tcBorders>
                  <w:shd w:val="clear" w:color="000000" w:fill="FDE9D9"/>
                  <w:noWrap/>
                  <w:vAlign w:val="center"/>
                  <w:hideMark/>
                </w:tcPr>
                <w:p w14:paraId="5F554FA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5.1 </w:t>
                  </w:r>
                </w:p>
              </w:tc>
              <w:tc>
                <w:tcPr>
                  <w:tcW w:w="942" w:type="dxa"/>
                  <w:tcBorders>
                    <w:top w:val="nil"/>
                    <w:left w:val="nil"/>
                    <w:bottom w:val="single" w:sz="8" w:space="0" w:color="FFFFFF"/>
                    <w:right w:val="single" w:sz="8" w:space="0" w:color="FFFFFF"/>
                  </w:tcBorders>
                  <w:shd w:val="clear" w:color="000000" w:fill="FDE9D9"/>
                  <w:noWrap/>
                  <w:vAlign w:val="center"/>
                  <w:hideMark/>
                </w:tcPr>
                <w:p w14:paraId="66DEA49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6.1 </w:t>
                  </w:r>
                </w:p>
              </w:tc>
              <w:tc>
                <w:tcPr>
                  <w:tcW w:w="1197" w:type="dxa"/>
                  <w:tcBorders>
                    <w:top w:val="nil"/>
                    <w:left w:val="nil"/>
                    <w:bottom w:val="single" w:sz="8" w:space="0" w:color="FFFFFF"/>
                    <w:right w:val="single" w:sz="8" w:space="0" w:color="FFFFFF"/>
                  </w:tcBorders>
                  <w:shd w:val="clear" w:color="000000" w:fill="FDE9D9"/>
                  <w:noWrap/>
                  <w:vAlign w:val="center"/>
                  <w:hideMark/>
                </w:tcPr>
                <w:p w14:paraId="065E3C82"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687" w:type="dxa"/>
                  <w:tcBorders>
                    <w:top w:val="nil"/>
                    <w:left w:val="nil"/>
                    <w:bottom w:val="single" w:sz="8" w:space="0" w:color="FFFFFF"/>
                    <w:right w:val="single" w:sz="8" w:space="0" w:color="FFFFFF"/>
                  </w:tcBorders>
                  <w:shd w:val="clear" w:color="000000" w:fill="FDE9D9"/>
                  <w:noWrap/>
                  <w:vAlign w:val="center"/>
                  <w:hideMark/>
                </w:tcPr>
                <w:p w14:paraId="68440B6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0.2 </w:t>
                  </w:r>
                </w:p>
              </w:tc>
              <w:tc>
                <w:tcPr>
                  <w:tcW w:w="942" w:type="dxa"/>
                  <w:tcBorders>
                    <w:top w:val="nil"/>
                    <w:left w:val="nil"/>
                    <w:bottom w:val="single" w:sz="8" w:space="0" w:color="FFFFFF"/>
                    <w:right w:val="single" w:sz="8" w:space="0" w:color="FFFFFF"/>
                  </w:tcBorders>
                  <w:shd w:val="clear" w:color="000000" w:fill="FDE9D9"/>
                  <w:noWrap/>
                  <w:vAlign w:val="center"/>
                  <w:hideMark/>
                </w:tcPr>
                <w:p w14:paraId="1576A03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0.2 </w:t>
                  </w:r>
                </w:p>
              </w:tc>
              <w:tc>
                <w:tcPr>
                  <w:tcW w:w="942" w:type="dxa"/>
                  <w:tcBorders>
                    <w:top w:val="nil"/>
                    <w:left w:val="nil"/>
                    <w:bottom w:val="single" w:sz="8" w:space="0" w:color="FFFFFF"/>
                    <w:right w:val="single" w:sz="8" w:space="0" w:color="FFFFFF"/>
                  </w:tcBorders>
                  <w:shd w:val="clear" w:color="000000" w:fill="FDE9D9"/>
                  <w:noWrap/>
                  <w:vAlign w:val="center"/>
                  <w:hideMark/>
                </w:tcPr>
                <w:p w14:paraId="02ED85D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2.2 </w:t>
                  </w:r>
                </w:p>
              </w:tc>
              <w:tc>
                <w:tcPr>
                  <w:tcW w:w="942" w:type="dxa"/>
                  <w:tcBorders>
                    <w:top w:val="nil"/>
                    <w:left w:val="nil"/>
                    <w:bottom w:val="single" w:sz="8" w:space="0" w:color="FFFFFF"/>
                    <w:right w:val="single" w:sz="8" w:space="0" w:color="FFFFFF"/>
                  </w:tcBorders>
                  <w:shd w:val="clear" w:color="000000" w:fill="FDE9D9"/>
                  <w:noWrap/>
                  <w:vAlign w:val="center"/>
                  <w:hideMark/>
                </w:tcPr>
                <w:p w14:paraId="6D339E5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3.2 </w:t>
                  </w:r>
                </w:p>
              </w:tc>
            </w:tr>
            <w:tr w:rsidR="00453A8C" w:rsidRPr="00453A8C" w14:paraId="505FEF93"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BD39CDB"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00357E8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2.4 </w:t>
                  </w:r>
                </w:p>
              </w:tc>
              <w:tc>
                <w:tcPr>
                  <w:tcW w:w="942" w:type="dxa"/>
                  <w:tcBorders>
                    <w:top w:val="nil"/>
                    <w:left w:val="nil"/>
                    <w:bottom w:val="single" w:sz="8" w:space="0" w:color="FFFFFF"/>
                    <w:right w:val="single" w:sz="8" w:space="0" w:color="FFFFFF"/>
                  </w:tcBorders>
                  <w:shd w:val="clear" w:color="000000" w:fill="FCD5B4"/>
                  <w:noWrap/>
                  <w:vAlign w:val="center"/>
                  <w:hideMark/>
                </w:tcPr>
                <w:p w14:paraId="1F43324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6FED44C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7C73A2B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 </w:t>
                  </w:r>
                </w:p>
              </w:tc>
              <w:tc>
                <w:tcPr>
                  <w:tcW w:w="1197" w:type="dxa"/>
                  <w:tcBorders>
                    <w:top w:val="nil"/>
                    <w:left w:val="nil"/>
                    <w:bottom w:val="single" w:sz="8" w:space="0" w:color="FFFFFF"/>
                    <w:right w:val="single" w:sz="8" w:space="0" w:color="FFFFFF"/>
                  </w:tcBorders>
                  <w:shd w:val="clear" w:color="000000" w:fill="FCD5B4"/>
                  <w:noWrap/>
                  <w:vAlign w:val="center"/>
                  <w:hideMark/>
                </w:tcPr>
                <w:p w14:paraId="7B361108"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687" w:type="dxa"/>
                  <w:tcBorders>
                    <w:top w:val="nil"/>
                    <w:left w:val="nil"/>
                    <w:bottom w:val="single" w:sz="8" w:space="0" w:color="FFFFFF"/>
                    <w:right w:val="single" w:sz="8" w:space="0" w:color="FFFFFF"/>
                  </w:tcBorders>
                  <w:shd w:val="clear" w:color="000000" w:fill="FCD5B4"/>
                  <w:noWrap/>
                  <w:vAlign w:val="center"/>
                  <w:hideMark/>
                </w:tcPr>
                <w:p w14:paraId="643855E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-4.5 </w:t>
                  </w:r>
                </w:p>
              </w:tc>
              <w:tc>
                <w:tcPr>
                  <w:tcW w:w="942" w:type="dxa"/>
                  <w:tcBorders>
                    <w:top w:val="nil"/>
                    <w:left w:val="nil"/>
                    <w:bottom w:val="single" w:sz="8" w:space="0" w:color="FFFFFF"/>
                    <w:right w:val="single" w:sz="8" w:space="0" w:color="FFFFFF"/>
                  </w:tcBorders>
                  <w:shd w:val="clear" w:color="000000" w:fill="FCD5B4"/>
                  <w:noWrap/>
                  <w:vAlign w:val="center"/>
                  <w:hideMark/>
                </w:tcPr>
                <w:p w14:paraId="6044F58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-5.5 </w:t>
                  </w:r>
                </w:p>
              </w:tc>
              <w:tc>
                <w:tcPr>
                  <w:tcW w:w="942" w:type="dxa"/>
                  <w:tcBorders>
                    <w:top w:val="nil"/>
                    <w:left w:val="nil"/>
                    <w:bottom w:val="single" w:sz="8" w:space="0" w:color="FFFFFF"/>
                    <w:right w:val="single" w:sz="8" w:space="0" w:color="FFFFFF"/>
                  </w:tcBorders>
                  <w:shd w:val="clear" w:color="000000" w:fill="FCD5B4"/>
                  <w:noWrap/>
                  <w:vAlign w:val="center"/>
                  <w:hideMark/>
                </w:tcPr>
                <w:p w14:paraId="508B4D9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-5.5 </w:t>
                  </w:r>
                </w:p>
              </w:tc>
              <w:tc>
                <w:tcPr>
                  <w:tcW w:w="942" w:type="dxa"/>
                  <w:tcBorders>
                    <w:top w:val="nil"/>
                    <w:left w:val="nil"/>
                    <w:bottom w:val="single" w:sz="8" w:space="0" w:color="FFFFFF"/>
                    <w:right w:val="single" w:sz="8" w:space="0" w:color="FFFFFF"/>
                  </w:tcBorders>
                  <w:shd w:val="clear" w:color="000000" w:fill="FCD5B4"/>
                  <w:noWrap/>
                  <w:vAlign w:val="center"/>
                  <w:hideMark/>
                </w:tcPr>
                <w:p w14:paraId="0B2CCA7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-5.5 </w:t>
                  </w:r>
                </w:p>
              </w:tc>
            </w:tr>
            <w:tr w:rsidR="00453A8C" w:rsidRPr="00453A8C" w14:paraId="2133C423"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B76CB06"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675758E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-0.8 </w:t>
                  </w:r>
                </w:p>
              </w:tc>
              <w:tc>
                <w:tcPr>
                  <w:tcW w:w="942" w:type="dxa"/>
                  <w:tcBorders>
                    <w:top w:val="nil"/>
                    <w:left w:val="nil"/>
                    <w:bottom w:val="single" w:sz="8" w:space="0" w:color="FFFFFF"/>
                    <w:right w:val="single" w:sz="8" w:space="0" w:color="FFFFFF"/>
                  </w:tcBorders>
                  <w:shd w:val="clear" w:color="000000" w:fill="FDE9D9"/>
                  <w:noWrap/>
                  <w:vAlign w:val="center"/>
                  <w:hideMark/>
                </w:tcPr>
                <w:p w14:paraId="1CF9965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-2.8 </w:t>
                  </w:r>
                </w:p>
              </w:tc>
              <w:tc>
                <w:tcPr>
                  <w:tcW w:w="942" w:type="dxa"/>
                  <w:tcBorders>
                    <w:top w:val="nil"/>
                    <w:left w:val="nil"/>
                    <w:bottom w:val="single" w:sz="8" w:space="0" w:color="FFFFFF"/>
                    <w:right w:val="single" w:sz="8" w:space="0" w:color="FFFFFF"/>
                  </w:tcBorders>
                  <w:shd w:val="clear" w:color="000000" w:fill="FDE9D9"/>
                  <w:noWrap/>
                  <w:vAlign w:val="center"/>
                  <w:hideMark/>
                </w:tcPr>
                <w:p w14:paraId="2E086E7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-2.8 </w:t>
                  </w:r>
                </w:p>
              </w:tc>
              <w:tc>
                <w:tcPr>
                  <w:tcW w:w="942" w:type="dxa"/>
                  <w:tcBorders>
                    <w:top w:val="nil"/>
                    <w:left w:val="nil"/>
                    <w:bottom w:val="single" w:sz="8" w:space="0" w:color="FFFFFF"/>
                    <w:right w:val="single" w:sz="8" w:space="0" w:color="FFFFFF"/>
                  </w:tcBorders>
                  <w:shd w:val="clear" w:color="000000" w:fill="FDE9D9"/>
                  <w:noWrap/>
                  <w:vAlign w:val="center"/>
                  <w:hideMark/>
                </w:tcPr>
                <w:p w14:paraId="1482277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-3.8 </w:t>
                  </w:r>
                </w:p>
              </w:tc>
              <w:tc>
                <w:tcPr>
                  <w:tcW w:w="1197" w:type="dxa"/>
                  <w:tcBorders>
                    <w:top w:val="nil"/>
                    <w:left w:val="nil"/>
                    <w:bottom w:val="single" w:sz="8" w:space="0" w:color="FFFFFF"/>
                    <w:right w:val="single" w:sz="8" w:space="0" w:color="FFFFFF"/>
                  </w:tcBorders>
                  <w:shd w:val="clear" w:color="000000" w:fill="FDE9D9"/>
                  <w:noWrap/>
                  <w:vAlign w:val="center"/>
                  <w:hideMark/>
                </w:tcPr>
                <w:p w14:paraId="6031CDF6"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687" w:type="dxa"/>
                  <w:tcBorders>
                    <w:top w:val="nil"/>
                    <w:left w:val="nil"/>
                    <w:bottom w:val="single" w:sz="8" w:space="0" w:color="FFFFFF"/>
                    <w:right w:val="single" w:sz="8" w:space="0" w:color="FFFFFF"/>
                  </w:tcBorders>
                  <w:shd w:val="clear" w:color="000000" w:fill="FDE9D9"/>
                  <w:noWrap/>
                  <w:vAlign w:val="center"/>
                  <w:hideMark/>
                </w:tcPr>
                <w:p w14:paraId="71B7314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-3.3 </w:t>
                  </w:r>
                </w:p>
              </w:tc>
              <w:tc>
                <w:tcPr>
                  <w:tcW w:w="942" w:type="dxa"/>
                  <w:tcBorders>
                    <w:top w:val="nil"/>
                    <w:left w:val="nil"/>
                    <w:bottom w:val="single" w:sz="8" w:space="0" w:color="FFFFFF"/>
                    <w:right w:val="single" w:sz="8" w:space="0" w:color="FFFFFF"/>
                  </w:tcBorders>
                  <w:shd w:val="clear" w:color="000000" w:fill="FDE9D9"/>
                  <w:noWrap/>
                  <w:vAlign w:val="center"/>
                  <w:hideMark/>
                </w:tcPr>
                <w:p w14:paraId="1BE9711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-5.3 </w:t>
                  </w:r>
                </w:p>
              </w:tc>
              <w:tc>
                <w:tcPr>
                  <w:tcW w:w="942" w:type="dxa"/>
                  <w:tcBorders>
                    <w:top w:val="nil"/>
                    <w:left w:val="nil"/>
                    <w:bottom w:val="single" w:sz="8" w:space="0" w:color="FFFFFF"/>
                    <w:right w:val="single" w:sz="8" w:space="0" w:color="FFFFFF"/>
                  </w:tcBorders>
                  <w:shd w:val="clear" w:color="000000" w:fill="FDE9D9"/>
                  <w:noWrap/>
                  <w:vAlign w:val="center"/>
                  <w:hideMark/>
                </w:tcPr>
                <w:p w14:paraId="65A551F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-5.3 </w:t>
                  </w:r>
                </w:p>
              </w:tc>
              <w:tc>
                <w:tcPr>
                  <w:tcW w:w="942" w:type="dxa"/>
                  <w:tcBorders>
                    <w:top w:val="nil"/>
                    <w:left w:val="nil"/>
                    <w:bottom w:val="single" w:sz="8" w:space="0" w:color="FFFFFF"/>
                    <w:right w:val="single" w:sz="8" w:space="0" w:color="FFFFFF"/>
                  </w:tcBorders>
                  <w:shd w:val="clear" w:color="000000" w:fill="FDE9D9"/>
                  <w:noWrap/>
                  <w:vAlign w:val="center"/>
                  <w:hideMark/>
                </w:tcPr>
                <w:p w14:paraId="1245F77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-6.3 </w:t>
                  </w:r>
                </w:p>
              </w:tc>
            </w:tr>
            <w:tr w:rsidR="00453A8C" w:rsidRPr="00453A8C" w14:paraId="61A084AD"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9F82AC3"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208D4F9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-2.7 </w:t>
                  </w:r>
                </w:p>
              </w:tc>
              <w:tc>
                <w:tcPr>
                  <w:tcW w:w="942" w:type="dxa"/>
                  <w:tcBorders>
                    <w:top w:val="nil"/>
                    <w:left w:val="nil"/>
                    <w:bottom w:val="single" w:sz="8" w:space="0" w:color="FFFFFF"/>
                    <w:right w:val="single" w:sz="8" w:space="0" w:color="FFFFFF"/>
                  </w:tcBorders>
                  <w:shd w:val="clear" w:color="000000" w:fill="FCD5B4"/>
                  <w:noWrap/>
                  <w:vAlign w:val="center"/>
                  <w:hideMark/>
                </w:tcPr>
                <w:p w14:paraId="6832F1A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-0.6 </w:t>
                  </w:r>
                </w:p>
              </w:tc>
              <w:tc>
                <w:tcPr>
                  <w:tcW w:w="942" w:type="dxa"/>
                  <w:tcBorders>
                    <w:top w:val="nil"/>
                    <w:left w:val="nil"/>
                    <w:bottom w:val="single" w:sz="8" w:space="0" w:color="FFFFFF"/>
                    <w:right w:val="single" w:sz="8" w:space="0" w:color="FFFFFF"/>
                  </w:tcBorders>
                  <w:shd w:val="clear" w:color="000000" w:fill="FCD5B4"/>
                  <w:noWrap/>
                  <w:vAlign w:val="center"/>
                  <w:hideMark/>
                </w:tcPr>
                <w:p w14:paraId="056E5EE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0.4 </w:t>
                  </w:r>
                </w:p>
              </w:tc>
              <w:tc>
                <w:tcPr>
                  <w:tcW w:w="942" w:type="dxa"/>
                  <w:tcBorders>
                    <w:top w:val="nil"/>
                    <w:left w:val="nil"/>
                    <w:bottom w:val="single" w:sz="8" w:space="0" w:color="FFFFFF"/>
                    <w:right w:val="single" w:sz="8" w:space="0" w:color="FFFFFF"/>
                  </w:tcBorders>
                  <w:shd w:val="clear" w:color="000000" w:fill="FCD5B4"/>
                  <w:noWrap/>
                  <w:vAlign w:val="center"/>
                  <w:hideMark/>
                </w:tcPr>
                <w:p w14:paraId="763C853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3.4 </w:t>
                  </w:r>
                </w:p>
              </w:tc>
              <w:tc>
                <w:tcPr>
                  <w:tcW w:w="1197" w:type="dxa"/>
                  <w:tcBorders>
                    <w:top w:val="nil"/>
                    <w:left w:val="nil"/>
                    <w:bottom w:val="single" w:sz="8" w:space="0" w:color="FFFFFF"/>
                    <w:right w:val="single" w:sz="8" w:space="0" w:color="FFFFFF"/>
                  </w:tcBorders>
                  <w:shd w:val="clear" w:color="000000" w:fill="FCD5B4"/>
                  <w:noWrap/>
                  <w:vAlign w:val="center"/>
                  <w:hideMark/>
                </w:tcPr>
                <w:p w14:paraId="0ACF3DAA"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687" w:type="dxa"/>
                  <w:tcBorders>
                    <w:top w:val="nil"/>
                    <w:left w:val="nil"/>
                    <w:bottom w:val="single" w:sz="8" w:space="0" w:color="FFFFFF"/>
                    <w:right w:val="single" w:sz="8" w:space="0" w:color="FFFFFF"/>
                  </w:tcBorders>
                  <w:shd w:val="clear" w:color="000000" w:fill="FCD5B4"/>
                  <w:noWrap/>
                  <w:vAlign w:val="center"/>
                  <w:hideMark/>
                </w:tcPr>
                <w:p w14:paraId="4B7D5C8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-5.5 </w:t>
                  </w:r>
                </w:p>
              </w:tc>
              <w:tc>
                <w:tcPr>
                  <w:tcW w:w="942" w:type="dxa"/>
                  <w:tcBorders>
                    <w:top w:val="nil"/>
                    <w:left w:val="nil"/>
                    <w:bottom w:val="single" w:sz="8" w:space="0" w:color="FFFFFF"/>
                    <w:right w:val="single" w:sz="8" w:space="0" w:color="FFFFFF"/>
                  </w:tcBorders>
                  <w:shd w:val="clear" w:color="000000" w:fill="FCD5B4"/>
                  <w:noWrap/>
                  <w:vAlign w:val="center"/>
                  <w:hideMark/>
                </w:tcPr>
                <w:p w14:paraId="2353829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-3.5 </w:t>
                  </w:r>
                </w:p>
              </w:tc>
              <w:tc>
                <w:tcPr>
                  <w:tcW w:w="942" w:type="dxa"/>
                  <w:tcBorders>
                    <w:top w:val="nil"/>
                    <w:left w:val="nil"/>
                    <w:bottom w:val="single" w:sz="8" w:space="0" w:color="FFFFFF"/>
                    <w:right w:val="single" w:sz="8" w:space="0" w:color="FFFFFF"/>
                  </w:tcBorders>
                  <w:shd w:val="clear" w:color="000000" w:fill="FCD5B4"/>
                  <w:noWrap/>
                  <w:vAlign w:val="center"/>
                  <w:hideMark/>
                </w:tcPr>
                <w:p w14:paraId="55C64CC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-2.5 </w:t>
                  </w:r>
                </w:p>
              </w:tc>
              <w:tc>
                <w:tcPr>
                  <w:tcW w:w="942" w:type="dxa"/>
                  <w:tcBorders>
                    <w:top w:val="nil"/>
                    <w:left w:val="nil"/>
                    <w:bottom w:val="single" w:sz="8" w:space="0" w:color="FFFFFF"/>
                    <w:right w:val="single" w:sz="8" w:space="0" w:color="FFFFFF"/>
                  </w:tcBorders>
                  <w:shd w:val="clear" w:color="000000" w:fill="FCD5B4"/>
                  <w:noWrap/>
                  <w:vAlign w:val="center"/>
                  <w:hideMark/>
                </w:tcPr>
                <w:p w14:paraId="337D1BC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0.5 </w:t>
                  </w:r>
                </w:p>
              </w:tc>
            </w:tr>
            <w:tr w:rsidR="00453A8C" w:rsidRPr="00453A8C" w14:paraId="45919908"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660ECEB1"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611C411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0.5 </w:t>
                  </w:r>
                </w:p>
              </w:tc>
              <w:tc>
                <w:tcPr>
                  <w:tcW w:w="942" w:type="dxa"/>
                  <w:tcBorders>
                    <w:top w:val="nil"/>
                    <w:left w:val="nil"/>
                    <w:bottom w:val="single" w:sz="8" w:space="0" w:color="FFFFFF"/>
                    <w:right w:val="single" w:sz="8" w:space="0" w:color="FFFFFF"/>
                  </w:tcBorders>
                  <w:shd w:val="clear" w:color="000000" w:fill="FDE9D9"/>
                  <w:noWrap/>
                  <w:vAlign w:val="center"/>
                  <w:hideMark/>
                </w:tcPr>
                <w:p w14:paraId="13F981D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4.5 </w:t>
                  </w:r>
                </w:p>
              </w:tc>
              <w:tc>
                <w:tcPr>
                  <w:tcW w:w="942" w:type="dxa"/>
                  <w:tcBorders>
                    <w:top w:val="nil"/>
                    <w:left w:val="nil"/>
                    <w:bottom w:val="single" w:sz="8" w:space="0" w:color="FFFFFF"/>
                    <w:right w:val="single" w:sz="8" w:space="0" w:color="FFFFFF"/>
                  </w:tcBorders>
                  <w:shd w:val="clear" w:color="000000" w:fill="FDE9D9"/>
                  <w:noWrap/>
                  <w:vAlign w:val="center"/>
                  <w:hideMark/>
                </w:tcPr>
                <w:p w14:paraId="65F8072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5.5 </w:t>
                  </w:r>
                </w:p>
              </w:tc>
              <w:tc>
                <w:tcPr>
                  <w:tcW w:w="942" w:type="dxa"/>
                  <w:tcBorders>
                    <w:top w:val="nil"/>
                    <w:left w:val="nil"/>
                    <w:bottom w:val="single" w:sz="8" w:space="0" w:color="FFFFFF"/>
                    <w:right w:val="single" w:sz="8" w:space="0" w:color="FFFFFF"/>
                  </w:tcBorders>
                  <w:shd w:val="clear" w:color="000000" w:fill="FDE9D9"/>
                  <w:noWrap/>
                  <w:vAlign w:val="center"/>
                  <w:hideMark/>
                </w:tcPr>
                <w:p w14:paraId="773827E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4.5 </w:t>
                  </w:r>
                </w:p>
              </w:tc>
              <w:tc>
                <w:tcPr>
                  <w:tcW w:w="1197" w:type="dxa"/>
                  <w:tcBorders>
                    <w:top w:val="nil"/>
                    <w:left w:val="nil"/>
                    <w:bottom w:val="single" w:sz="8" w:space="0" w:color="FFFFFF"/>
                    <w:right w:val="single" w:sz="8" w:space="0" w:color="FFFFFF"/>
                  </w:tcBorders>
                  <w:shd w:val="clear" w:color="000000" w:fill="FDE9D9"/>
                  <w:noWrap/>
                  <w:vAlign w:val="center"/>
                  <w:hideMark/>
                </w:tcPr>
                <w:p w14:paraId="405FD1F6"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687" w:type="dxa"/>
                  <w:tcBorders>
                    <w:top w:val="nil"/>
                    <w:left w:val="nil"/>
                    <w:bottom w:val="single" w:sz="8" w:space="0" w:color="FFFFFF"/>
                    <w:right w:val="single" w:sz="8" w:space="0" w:color="FFFFFF"/>
                  </w:tcBorders>
                  <w:shd w:val="clear" w:color="000000" w:fill="FDE9D9"/>
                  <w:noWrap/>
                  <w:vAlign w:val="center"/>
                  <w:hideMark/>
                </w:tcPr>
                <w:p w14:paraId="3706ACC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-6.4 </w:t>
                  </w:r>
                </w:p>
              </w:tc>
              <w:tc>
                <w:tcPr>
                  <w:tcW w:w="942" w:type="dxa"/>
                  <w:tcBorders>
                    <w:top w:val="nil"/>
                    <w:left w:val="nil"/>
                    <w:bottom w:val="single" w:sz="8" w:space="0" w:color="FFFFFF"/>
                    <w:right w:val="single" w:sz="8" w:space="0" w:color="FFFFFF"/>
                  </w:tcBorders>
                  <w:shd w:val="clear" w:color="000000" w:fill="FDE9D9"/>
                  <w:noWrap/>
                  <w:vAlign w:val="center"/>
                  <w:hideMark/>
                </w:tcPr>
                <w:p w14:paraId="161E082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-2.4 </w:t>
                  </w:r>
                </w:p>
              </w:tc>
              <w:tc>
                <w:tcPr>
                  <w:tcW w:w="942" w:type="dxa"/>
                  <w:tcBorders>
                    <w:top w:val="nil"/>
                    <w:left w:val="nil"/>
                    <w:bottom w:val="single" w:sz="8" w:space="0" w:color="FFFFFF"/>
                    <w:right w:val="single" w:sz="8" w:space="0" w:color="FFFFFF"/>
                  </w:tcBorders>
                  <w:shd w:val="clear" w:color="000000" w:fill="FDE9D9"/>
                  <w:noWrap/>
                  <w:vAlign w:val="center"/>
                  <w:hideMark/>
                </w:tcPr>
                <w:p w14:paraId="192CC30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DE9D9"/>
                  <w:noWrap/>
                  <w:vAlign w:val="center"/>
                  <w:hideMark/>
                </w:tcPr>
                <w:p w14:paraId="65428FC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-2.4 </w:t>
                  </w:r>
                </w:p>
              </w:tc>
            </w:tr>
            <w:tr w:rsidR="00453A8C" w:rsidRPr="00453A8C" w14:paraId="62964279" w14:textId="77777777" w:rsidTr="00453A8C">
              <w:trPr>
                <w:trHeight w:val="290"/>
              </w:trPr>
              <w:tc>
                <w:tcPr>
                  <w:tcW w:w="1160" w:type="dxa"/>
                  <w:tcBorders>
                    <w:top w:val="nil"/>
                    <w:left w:val="nil"/>
                    <w:bottom w:val="nil"/>
                    <w:right w:val="nil"/>
                  </w:tcBorders>
                  <w:shd w:val="clear" w:color="000000" w:fill="FCD5B4"/>
                  <w:noWrap/>
                  <w:vAlign w:val="center"/>
                  <w:hideMark/>
                </w:tcPr>
                <w:p w14:paraId="7DA8B167"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4BAAB30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6EA3020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4.4 </w:t>
                  </w:r>
                </w:p>
              </w:tc>
              <w:tc>
                <w:tcPr>
                  <w:tcW w:w="942" w:type="dxa"/>
                  <w:tcBorders>
                    <w:top w:val="nil"/>
                    <w:left w:val="nil"/>
                    <w:bottom w:val="single" w:sz="8" w:space="0" w:color="FFFFFF"/>
                    <w:right w:val="single" w:sz="8" w:space="0" w:color="FFFFFF"/>
                  </w:tcBorders>
                  <w:shd w:val="clear" w:color="000000" w:fill="FCD5B4"/>
                  <w:noWrap/>
                  <w:vAlign w:val="center"/>
                  <w:hideMark/>
                </w:tcPr>
                <w:p w14:paraId="7E92F69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4.4 </w:t>
                  </w:r>
                </w:p>
              </w:tc>
              <w:tc>
                <w:tcPr>
                  <w:tcW w:w="942" w:type="dxa"/>
                  <w:tcBorders>
                    <w:top w:val="nil"/>
                    <w:left w:val="nil"/>
                    <w:bottom w:val="single" w:sz="8" w:space="0" w:color="FFFFFF"/>
                    <w:right w:val="single" w:sz="8" w:space="0" w:color="FFFFFF"/>
                  </w:tcBorders>
                  <w:shd w:val="clear" w:color="000000" w:fill="FCD5B4"/>
                  <w:noWrap/>
                  <w:vAlign w:val="center"/>
                  <w:hideMark/>
                </w:tcPr>
                <w:p w14:paraId="670A72C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3.4 </w:t>
                  </w:r>
                </w:p>
              </w:tc>
              <w:tc>
                <w:tcPr>
                  <w:tcW w:w="1197" w:type="dxa"/>
                  <w:tcBorders>
                    <w:top w:val="nil"/>
                    <w:left w:val="nil"/>
                    <w:bottom w:val="nil"/>
                    <w:right w:val="nil"/>
                  </w:tcBorders>
                  <w:shd w:val="clear" w:color="000000" w:fill="FCD5B4"/>
                  <w:noWrap/>
                  <w:vAlign w:val="center"/>
                  <w:hideMark/>
                </w:tcPr>
                <w:p w14:paraId="16E2A64C"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687" w:type="dxa"/>
                  <w:tcBorders>
                    <w:top w:val="nil"/>
                    <w:left w:val="nil"/>
                    <w:bottom w:val="single" w:sz="8" w:space="0" w:color="FFFFFF"/>
                    <w:right w:val="single" w:sz="8" w:space="0" w:color="FFFFFF"/>
                  </w:tcBorders>
                  <w:shd w:val="clear" w:color="000000" w:fill="FCD5B4"/>
                  <w:noWrap/>
                  <w:vAlign w:val="center"/>
                  <w:hideMark/>
                </w:tcPr>
                <w:p w14:paraId="10126F3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FF0000"/>
                      <w:kern w:val="0"/>
                      <w:szCs w:val="21"/>
                    </w:rPr>
                    <w:t xml:space="preserve">-1.0 </w:t>
                  </w:r>
                </w:p>
              </w:tc>
              <w:tc>
                <w:tcPr>
                  <w:tcW w:w="942" w:type="dxa"/>
                  <w:tcBorders>
                    <w:top w:val="nil"/>
                    <w:left w:val="nil"/>
                    <w:bottom w:val="single" w:sz="8" w:space="0" w:color="FFFFFF"/>
                    <w:right w:val="single" w:sz="8" w:space="0" w:color="FFFFFF"/>
                  </w:tcBorders>
                  <w:shd w:val="clear" w:color="000000" w:fill="FCD5B4"/>
                  <w:noWrap/>
                  <w:vAlign w:val="center"/>
                  <w:hideMark/>
                </w:tcPr>
                <w:p w14:paraId="2E40DD3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2.0 </w:t>
                  </w:r>
                </w:p>
              </w:tc>
              <w:tc>
                <w:tcPr>
                  <w:tcW w:w="942" w:type="dxa"/>
                  <w:tcBorders>
                    <w:top w:val="nil"/>
                    <w:left w:val="nil"/>
                    <w:bottom w:val="single" w:sz="8" w:space="0" w:color="FFFFFF"/>
                    <w:right w:val="single" w:sz="8" w:space="0" w:color="FFFFFF"/>
                  </w:tcBorders>
                  <w:shd w:val="clear" w:color="000000" w:fill="FCD5B4"/>
                  <w:noWrap/>
                  <w:vAlign w:val="center"/>
                  <w:hideMark/>
                </w:tcPr>
                <w:p w14:paraId="0973006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2.0 </w:t>
                  </w:r>
                </w:p>
              </w:tc>
              <w:tc>
                <w:tcPr>
                  <w:tcW w:w="942" w:type="dxa"/>
                  <w:tcBorders>
                    <w:top w:val="nil"/>
                    <w:left w:val="nil"/>
                    <w:bottom w:val="single" w:sz="8" w:space="0" w:color="FFFFFF"/>
                    <w:right w:val="single" w:sz="8" w:space="0" w:color="FFFFFF"/>
                  </w:tcBorders>
                  <w:shd w:val="clear" w:color="000000" w:fill="FCD5B4"/>
                  <w:noWrap/>
                  <w:vAlign w:val="center"/>
                  <w:hideMark/>
                </w:tcPr>
                <w:p w14:paraId="1BE2B06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 xml:space="preserve">1.0 </w:t>
                  </w:r>
                </w:p>
              </w:tc>
            </w:tr>
            <w:tr w:rsidR="00453A8C" w:rsidRPr="00453A8C" w14:paraId="325F3239" w14:textId="77777777" w:rsidTr="00453A8C">
              <w:trPr>
                <w:trHeight w:val="150"/>
              </w:trPr>
              <w:tc>
                <w:tcPr>
                  <w:tcW w:w="1160" w:type="dxa"/>
                  <w:tcBorders>
                    <w:top w:val="nil"/>
                    <w:left w:val="nil"/>
                    <w:bottom w:val="nil"/>
                    <w:right w:val="nil"/>
                  </w:tcBorders>
                  <w:shd w:val="clear" w:color="auto" w:fill="auto"/>
                  <w:noWrap/>
                  <w:vAlign w:val="center"/>
                  <w:hideMark/>
                </w:tcPr>
                <w:p w14:paraId="3980FABE" w14:textId="77777777" w:rsidR="00453A8C" w:rsidRPr="00453A8C" w:rsidRDefault="00453A8C" w:rsidP="00453A8C">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24201C3F"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EE872D3"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68A15F8"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6A7994BF" w14:textId="77777777" w:rsidR="00453A8C" w:rsidRPr="00453A8C" w:rsidRDefault="00453A8C" w:rsidP="00453A8C">
                  <w:pPr>
                    <w:widowControl/>
                    <w:jc w:val="center"/>
                    <w:rPr>
                      <w:rFonts w:ascii="Times New Roman" w:eastAsia="Times New Roman" w:hAnsi="Times New Roman"/>
                      <w:kern w:val="0"/>
                      <w:sz w:val="20"/>
                      <w:szCs w:val="20"/>
                    </w:rPr>
                  </w:pPr>
                </w:p>
              </w:tc>
              <w:tc>
                <w:tcPr>
                  <w:tcW w:w="1197" w:type="dxa"/>
                  <w:tcBorders>
                    <w:top w:val="nil"/>
                    <w:left w:val="nil"/>
                    <w:bottom w:val="nil"/>
                    <w:right w:val="nil"/>
                  </w:tcBorders>
                  <w:shd w:val="clear" w:color="auto" w:fill="auto"/>
                  <w:noWrap/>
                  <w:vAlign w:val="center"/>
                  <w:hideMark/>
                </w:tcPr>
                <w:p w14:paraId="554C526E" w14:textId="77777777" w:rsidR="00453A8C" w:rsidRPr="00453A8C" w:rsidRDefault="00453A8C" w:rsidP="00453A8C">
                  <w:pPr>
                    <w:widowControl/>
                    <w:jc w:val="center"/>
                    <w:rPr>
                      <w:rFonts w:ascii="Times New Roman" w:eastAsia="Times New Roman" w:hAnsi="Times New Roman"/>
                      <w:kern w:val="0"/>
                      <w:sz w:val="20"/>
                      <w:szCs w:val="20"/>
                    </w:rPr>
                  </w:pPr>
                </w:p>
              </w:tc>
              <w:tc>
                <w:tcPr>
                  <w:tcW w:w="687" w:type="dxa"/>
                  <w:tcBorders>
                    <w:top w:val="nil"/>
                    <w:left w:val="nil"/>
                    <w:bottom w:val="nil"/>
                    <w:right w:val="nil"/>
                  </w:tcBorders>
                  <w:shd w:val="clear" w:color="auto" w:fill="auto"/>
                  <w:noWrap/>
                  <w:vAlign w:val="center"/>
                  <w:hideMark/>
                </w:tcPr>
                <w:p w14:paraId="6C032724"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0018078"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64AA671D" w14:textId="77777777" w:rsidR="00453A8C" w:rsidRPr="00453A8C" w:rsidRDefault="00453A8C" w:rsidP="00453A8C">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7842B679" w14:textId="77777777" w:rsidR="00453A8C" w:rsidRPr="00453A8C" w:rsidRDefault="00453A8C" w:rsidP="00453A8C">
                  <w:pPr>
                    <w:widowControl/>
                    <w:jc w:val="center"/>
                    <w:rPr>
                      <w:rFonts w:ascii="Times New Roman" w:eastAsia="Times New Roman" w:hAnsi="Times New Roman"/>
                      <w:kern w:val="0"/>
                      <w:sz w:val="20"/>
                      <w:szCs w:val="20"/>
                    </w:rPr>
                  </w:pPr>
                </w:p>
              </w:tc>
            </w:tr>
            <w:tr w:rsidR="00453A8C" w:rsidRPr="00453A8C" w14:paraId="62462C0D" w14:textId="77777777" w:rsidTr="00453A8C">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09168EB3"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收益率分位</w:t>
                  </w:r>
                </w:p>
              </w:tc>
              <w:tc>
                <w:tcPr>
                  <w:tcW w:w="942" w:type="dxa"/>
                  <w:tcBorders>
                    <w:top w:val="nil"/>
                    <w:left w:val="nil"/>
                    <w:bottom w:val="single" w:sz="12" w:space="0" w:color="FFFFFF"/>
                    <w:right w:val="single" w:sz="8" w:space="0" w:color="FFFFFF"/>
                  </w:tcBorders>
                  <w:shd w:val="clear" w:color="000000" w:fill="F79646"/>
                  <w:noWrap/>
                  <w:vAlign w:val="center"/>
                  <w:hideMark/>
                </w:tcPr>
                <w:p w14:paraId="416D2246"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2C8A895"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36F804BE"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3DAB1BB"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1197" w:type="dxa"/>
                  <w:tcBorders>
                    <w:top w:val="nil"/>
                    <w:left w:val="nil"/>
                    <w:bottom w:val="single" w:sz="12" w:space="0" w:color="FFFFFF"/>
                    <w:right w:val="single" w:sz="8" w:space="0" w:color="FFFFFF"/>
                  </w:tcBorders>
                  <w:shd w:val="clear" w:color="000000" w:fill="F79646"/>
                  <w:noWrap/>
                  <w:vAlign w:val="center"/>
                  <w:hideMark/>
                </w:tcPr>
                <w:p w14:paraId="57E1426D"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息差</w:t>
                  </w:r>
                </w:p>
              </w:tc>
              <w:tc>
                <w:tcPr>
                  <w:tcW w:w="687" w:type="dxa"/>
                  <w:tcBorders>
                    <w:top w:val="nil"/>
                    <w:left w:val="nil"/>
                    <w:bottom w:val="single" w:sz="12" w:space="0" w:color="FFFFFF"/>
                    <w:right w:val="single" w:sz="8" w:space="0" w:color="FFFFFF"/>
                  </w:tcBorders>
                  <w:shd w:val="clear" w:color="000000" w:fill="F79646"/>
                  <w:noWrap/>
                  <w:vAlign w:val="center"/>
                  <w:hideMark/>
                </w:tcPr>
                <w:p w14:paraId="77BE3439"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6E66CBC"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0E65637"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F8667B9" w14:textId="77777777" w:rsidR="00453A8C" w:rsidRPr="00453A8C" w:rsidRDefault="00453A8C" w:rsidP="00453A8C">
                  <w:pPr>
                    <w:widowControl/>
                    <w:jc w:val="center"/>
                    <w:rPr>
                      <w:rFonts w:ascii="楷体" w:eastAsia="楷体" w:hAnsi="楷体" w:cs="宋体"/>
                      <w:b/>
                      <w:bCs/>
                      <w:color w:val="FFFFFF"/>
                      <w:kern w:val="0"/>
                      <w:sz w:val="20"/>
                      <w:szCs w:val="20"/>
                    </w:rPr>
                  </w:pPr>
                  <w:r w:rsidRPr="00453A8C">
                    <w:rPr>
                      <w:rFonts w:ascii="楷体" w:eastAsia="楷体" w:hAnsi="楷体" w:cs="宋体" w:hint="eastAsia"/>
                      <w:b/>
                      <w:bCs/>
                      <w:color w:val="FFFFFF"/>
                      <w:kern w:val="0"/>
                      <w:sz w:val="20"/>
                      <w:szCs w:val="20"/>
                    </w:rPr>
                    <w:t>AA-</w:t>
                  </w:r>
                </w:p>
              </w:tc>
            </w:tr>
            <w:tr w:rsidR="00453A8C" w:rsidRPr="00453A8C" w14:paraId="0DDEA7B6" w14:textId="77777777" w:rsidTr="00453A8C">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3914D4B3"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6F30B90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39%</w:t>
                  </w:r>
                </w:p>
              </w:tc>
              <w:tc>
                <w:tcPr>
                  <w:tcW w:w="942" w:type="dxa"/>
                  <w:tcBorders>
                    <w:top w:val="nil"/>
                    <w:left w:val="nil"/>
                    <w:bottom w:val="single" w:sz="8" w:space="0" w:color="FFFFFF"/>
                    <w:right w:val="single" w:sz="8" w:space="0" w:color="FFFFFF"/>
                  </w:tcBorders>
                  <w:shd w:val="clear" w:color="000000" w:fill="FCD5B4"/>
                  <w:noWrap/>
                  <w:vAlign w:val="center"/>
                  <w:hideMark/>
                </w:tcPr>
                <w:p w14:paraId="3B37583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38%</w:t>
                  </w:r>
                </w:p>
              </w:tc>
              <w:tc>
                <w:tcPr>
                  <w:tcW w:w="942" w:type="dxa"/>
                  <w:tcBorders>
                    <w:top w:val="nil"/>
                    <w:left w:val="nil"/>
                    <w:bottom w:val="single" w:sz="8" w:space="0" w:color="FFFFFF"/>
                    <w:right w:val="single" w:sz="8" w:space="0" w:color="FFFFFF"/>
                  </w:tcBorders>
                  <w:shd w:val="clear" w:color="000000" w:fill="FCD5B4"/>
                  <w:noWrap/>
                  <w:vAlign w:val="center"/>
                  <w:hideMark/>
                </w:tcPr>
                <w:p w14:paraId="5540675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39%</w:t>
                  </w:r>
                </w:p>
              </w:tc>
              <w:tc>
                <w:tcPr>
                  <w:tcW w:w="942" w:type="dxa"/>
                  <w:tcBorders>
                    <w:top w:val="nil"/>
                    <w:left w:val="nil"/>
                    <w:bottom w:val="single" w:sz="8" w:space="0" w:color="FFFFFF"/>
                    <w:right w:val="single" w:sz="8" w:space="0" w:color="FFFFFF"/>
                  </w:tcBorders>
                  <w:shd w:val="clear" w:color="000000" w:fill="FCD5B4"/>
                  <w:noWrap/>
                  <w:vAlign w:val="center"/>
                  <w:hideMark/>
                </w:tcPr>
                <w:p w14:paraId="22C925E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70%</w:t>
                  </w:r>
                </w:p>
              </w:tc>
              <w:tc>
                <w:tcPr>
                  <w:tcW w:w="1197" w:type="dxa"/>
                  <w:tcBorders>
                    <w:top w:val="nil"/>
                    <w:left w:val="nil"/>
                    <w:bottom w:val="single" w:sz="8" w:space="0" w:color="FFFFFF"/>
                    <w:right w:val="single" w:sz="8" w:space="0" w:color="FFFFFF"/>
                  </w:tcBorders>
                  <w:shd w:val="clear" w:color="000000" w:fill="FCD5B4"/>
                  <w:noWrap/>
                  <w:vAlign w:val="center"/>
                  <w:hideMark/>
                </w:tcPr>
                <w:p w14:paraId="19C0230E"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CP</w:t>
                  </w:r>
                </w:p>
              </w:tc>
              <w:tc>
                <w:tcPr>
                  <w:tcW w:w="687" w:type="dxa"/>
                  <w:tcBorders>
                    <w:top w:val="nil"/>
                    <w:left w:val="nil"/>
                    <w:bottom w:val="single" w:sz="8" w:space="0" w:color="FFFFFF"/>
                    <w:right w:val="single" w:sz="8" w:space="0" w:color="FFFFFF"/>
                  </w:tcBorders>
                  <w:shd w:val="clear" w:color="000000" w:fill="FCD5B4"/>
                  <w:noWrap/>
                  <w:vAlign w:val="center"/>
                  <w:hideMark/>
                </w:tcPr>
                <w:p w14:paraId="7B0D878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CD5B4"/>
                  <w:noWrap/>
                  <w:vAlign w:val="center"/>
                  <w:hideMark/>
                </w:tcPr>
                <w:p w14:paraId="5115562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8%</w:t>
                  </w:r>
                </w:p>
              </w:tc>
              <w:tc>
                <w:tcPr>
                  <w:tcW w:w="942" w:type="dxa"/>
                  <w:tcBorders>
                    <w:top w:val="nil"/>
                    <w:left w:val="nil"/>
                    <w:bottom w:val="single" w:sz="8" w:space="0" w:color="FFFFFF"/>
                    <w:right w:val="single" w:sz="8" w:space="0" w:color="FFFFFF"/>
                  </w:tcBorders>
                  <w:shd w:val="clear" w:color="000000" w:fill="FCD5B4"/>
                  <w:noWrap/>
                  <w:vAlign w:val="center"/>
                  <w:hideMark/>
                </w:tcPr>
                <w:p w14:paraId="3A96153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2AB8C80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79%</w:t>
                  </w:r>
                </w:p>
              </w:tc>
            </w:tr>
            <w:tr w:rsidR="00453A8C" w:rsidRPr="00453A8C" w14:paraId="4B9CCAE6"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1D4AB90"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46C680D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33%</w:t>
                  </w:r>
                </w:p>
              </w:tc>
              <w:tc>
                <w:tcPr>
                  <w:tcW w:w="942" w:type="dxa"/>
                  <w:tcBorders>
                    <w:top w:val="nil"/>
                    <w:left w:val="nil"/>
                    <w:bottom w:val="single" w:sz="8" w:space="0" w:color="FFFFFF"/>
                    <w:right w:val="single" w:sz="8" w:space="0" w:color="FFFFFF"/>
                  </w:tcBorders>
                  <w:shd w:val="clear" w:color="000000" w:fill="FDE9D9"/>
                  <w:noWrap/>
                  <w:vAlign w:val="center"/>
                  <w:hideMark/>
                </w:tcPr>
                <w:p w14:paraId="484A780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33%</w:t>
                  </w:r>
                </w:p>
              </w:tc>
              <w:tc>
                <w:tcPr>
                  <w:tcW w:w="942" w:type="dxa"/>
                  <w:tcBorders>
                    <w:top w:val="nil"/>
                    <w:left w:val="nil"/>
                    <w:bottom w:val="single" w:sz="8" w:space="0" w:color="FFFFFF"/>
                    <w:right w:val="single" w:sz="8" w:space="0" w:color="FFFFFF"/>
                  </w:tcBorders>
                  <w:shd w:val="clear" w:color="000000" w:fill="FDE9D9"/>
                  <w:noWrap/>
                  <w:vAlign w:val="center"/>
                  <w:hideMark/>
                </w:tcPr>
                <w:p w14:paraId="6BEC556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36%</w:t>
                  </w:r>
                </w:p>
              </w:tc>
              <w:tc>
                <w:tcPr>
                  <w:tcW w:w="942" w:type="dxa"/>
                  <w:tcBorders>
                    <w:top w:val="nil"/>
                    <w:left w:val="nil"/>
                    <w:bottom w:val="single" w:sz="8" w:space="0" w:color="FFFFFF"/>
                    <w:right w:val="single" w:sz="8" w:space="0" w:color="FFFFFF"/>
                  </w:tcBorders>
                  <w:shd w:val="clear" w:color="000000" w:fill="FDE9D9"/>
                  <w:noWrap/>
                  <w:vAlign w:val="center"/>
                  <w:hideMark/>
                </w:tcPr>
                <w:p w14:paraId="6496141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72%</w:t>
                  </w:r>
                </w:p>
              </w:tc>
              <w:tc>
                <w:tcPr>
                  <w:tcW w:w="1197" w:type="dxa"/>
                  <w:tcBorders>
                    <w:top w:val="nil"/>
                    <w:left w:val="nil"/>
                    <w:bottom w:val="single" w:sz="8" w:space="0" w:color="FFFFFF"/>
                    <w:right w:val="single" w:sz="8" w:space="0" w:color="FFFFFF"/>
                  </w:tcBorders>
                  <w:shd w:val="clear" w:color="000000" w:fill="FDE9D9"/>
                  <w:noWrap/>
                  <w:vAlign w:val="center"/>
                  <w:hideMark/>
                </w:tcPr>
                <w:p w14:paraId="6C8E4405"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MTN3Y</w:t>
                  </w:r>
                </w:p>
              </w:tc>
              <w:tc>
                <w:tcPr>
                  <w:tcW w:w="687" w:type="dxa"/>
                  <w:tcBorders>
                    <w:top w:val="nil"/>
                    <w:left w:val="nil"/>
                    <w:bottom w:val="single" w:sz="8" w:space="0" w:color="FFFFFF"/>
                    <w:right w:val="single" w:sz="8" w:space="0" w:color="FFFFFF"/>
                  </w:tcBorders>
                  <w:shd w:val="clear" w:color="000000" w:fill="FDE9D9"/>
                  <w:noWrap/>
                  <w:vAlign w:val="center"/>
                  <w:hideMark/>
                </w:tcPr>
                <w:p w14:paraId="28D4697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DE9D9"/>
                  <w:noWrap/>
                  <w:vAlign w:val="center"/>
                  <w:hideMark/>
                </w:tcPr>
                <w:p w14:paraId="77DE67D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DE9D9"/>
                  <w:noWrap/>
                  <w:vAlign w:val="center"/>
                  <w:hideMark/>
                </w:tcPr>
                <w:p w14:paraId="2A43C2F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26%</w:t>
                  </w:r>
                </w:p>
              </w:tc>
              <w:tc>
                <w:tcPr>
                  <w:tcW w:w="942" w:type="dxa"/>
                  <w:tcBorders>
                    <w:top w:val="nil"/>
                    <w:left w:val="nil"/>
                    <w:bottom w:val="single" w:sz="8" w:space="0" w:color="FFFFFF"/>
                    <w:right w:val="single" w:sz="8" w:space="0" w:color="FFFFFF"/>
                  </w:tcBorders>
                  <w:shd w:val="clear" w:color="000000" w:fill="FFC7CE"/>
                  <w:noWrap/>
                  <w:vAlign w:val="center"/>
                  <w:hideMark/>
                </w:tcPr>
                <w:p w14:paraId="049B0F0B" w14:textId="77777777" w:rsidR="00453A8C" w:rsidRPr="00453A8C" w:rsidRDefault="00453A8C" w:rsidP="00453A8C">
                  <w:pPr>
                    <w:widowControl/>
                    <w:jc w:val="center"/>
                    <w:rPr>
                      <w:rFonts w:eastAsia="等线" w:cs="Calibri"/>
                      <w:color w:val="9C0006"/>
                      <w:kern w:val="0"/>
                      <w:szCs w:val="21"/>
                    </w:rPr>
                  </w:pPr>
                  <w:r w:rsidRPr="00453A8C">
                    <w:rPr>
                      <w:rFonts w:eastAsia="等线" w:cs="Calibri"/>
                      <w:color w:val="9C0006"/>
                      <w:kern w:val="0"/>
                      <w:szCs w:val="21"/>
                    </w:rPr>
                    <w:t>86%</w:t>
                  </w:r>
                </w:p>
              </w:tc>
            </w:tr>
            <w:tr w:rsidR="00453A8C" w:rsidRPr="00453A8C" w14:paraId="45EFDC9C"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920B258"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5666BD2C"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CD5B4"/>
                  <w:noWrap/>
                  <w:vAlign w:val="center"/>
                  <w:hideMark/>
                </w:tcPr>
                <w:p w14:paraId="3E742DB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28%</w:t>
                  </w:r>
                </w:p>
              </w:tc>
              <w:tc>
                <w:tcPr>
                  <w:tcW w:w="942" w:type="dxa"/>
                  <w:tcBorders>
                    <w:top w:val="nil"/>
                    <w:left w:val="nil"/>
                    <w:bottom w:val="single" w:sz="8" w:space="0" w:color="FFFFFF"/>
                    <w:right w:val="single" w:sz="8" w:space="0" w:color="FFFFFF"/>
                  </w:tcBorders>
                  <w:shd w:val="clear" w:color="000000" w:fill="FCD5B4"/>
                  <w:noWrap/>
                  <w:vAlign w:val="center"/>
                  <w:hideMark/>
                </w:tcPr>
                <w:p w14:paraId="0A0A41B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30%</w:t>
                  </w:r>
                </w:p>
              </w:tc>
              <w:tc>
                <w:tcPr>
                  <w:tcW w:w="942" w:type="dxa"/>
                  <w:tcBorders>
                    <w:top w:val="nil"/>
                    <w:left w:val="nil"/>
                    <w:bottom w:val="single" w:sz="8" w:space="0" w:color="FFFFFF"/>
                    <w:right w:val="single" w:sz="8" w:space="0" w:color="FFFFFF"/>
                  </w:tcBorders>
                  <w:shd w:val="clear" w:color="000000" w:fill="FCD5B4"/>
                  <w:noWrap/>
                  <w:vAlign w:val="center"/>
                  <w:hideMark/>
                </w:tcPr>
                <w:p w14:paraId="46889FF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72%</w:t>
                  </w:r>
                </w:p>
              </w:tc>
              <w:tc>
                <w:tcPr>
                  <w:tcW w:w="1197" w:type="dxa"/>
                  <w:tcBorders>
                    <w:top w:val="nil"/>
                    <w:left w:val="nil"/>
                    <w:bottom w:val="single" w:sz="8" w:space="0" w:color="FFFFFF"/>
                    <w:right w:val="single" w:sz="8" w:space="0" w:color="FFFFFF"/>
                  </w:tcBorders>
                  <w:shd w:val="clear" w:color="000000" w:fill="FCD5B4"/>
                  <w:noWrap/>
                  <w:vAlign w:val="center"/>
                  <w:hideMark/>
                </w:tcPr>
                <w:p w14:paraId="026E8CD3"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MTN5Y</w:t>
                  </w:r>
                </w:p>
              </w:tc>
              <w:tc>
                <w:tcPr>
                  <w:tcW w:w="687" w:type="dxa"/>
                  <w:tcBorders>
                    <w:top w:val="nil"/>
                    <w:left w:val="nil"/>
                    <w:bottom w:val="single" w:sz="8" w:space="0" w:color="FFFFFF"/>
                    <w:right w:val="single" w:sz="8" w:space="0" w:color="FFFFFF"/>
                  </w:tcBorders>
                  <w:shd w:val="clear" w:color="000000" w:fill="FCD5B4"/>
                  <w:noWrap/>
                  <w:vAlign w:val="center"/>
                  <w:hideMark/>
                </w:tcPr>
                <w:p w14:paraId="661D1AF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CD5B4"/>
                  <w:noWrap/>
                  <w:vAlign w:val="center"/>
                  <w:hideMark/>
                </w:tcPr>
                <w:p w14:paraId="059F9AC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570154C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CD5B4"/>
                  <w:noWrap/>
                  <w:vAlign w:val="center"/>
                  <w:hideMark/>
                </w:tcPr>
                <w:p w14:paraId="691E2EA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76%</w:t>
                  </w:r>
                </w:p>
              </w:tc>
            </w:tr>
            <w:tr w:rsidR="00453A8C" w:rsidRPr="00453A8C" w14:paraId="31CB4A4A"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1DEF2BC2"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7B6E783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33%</w:t>
                  </w:r>
                </w:p>
              </w:tc>
              <w:tc>
                <w:tcPr>
                  <w:tcW w:w="942" w:type="dxa"/>
                  <w:tcBorders>
                    <w:top w:val="nil"/>
                    <w:left w:val="nil"/>
                    <w:bottom w:val="single" w:sz="8" w:space="0" w:color="FFFFFF"/>
                    <w:right w:val="single" w:sz="8" w:space="0" w:color="FFFFFF"/>
                  </w:tcBorders>
                  <w:shd w:val="clear" w:color="000000" w:fill="FDE9D9"/>
                  <w:noWrap/>
                  <w:vAlign w:val="center"/>
                  <w:hideMark/>
                </w:tcPr>
                <w:p w14:paraId="5806751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29%</w:t>
                  </w:r>
                </w:p>
              </w:tc>
              <w:tc>
                <w:tcPr>
                  <w:tcW w:w="942" w:type="dxa"/>
                  <w:tcBorders>
                    <w:top w:val="nil"/>
                    <w:left w:val="nil"/>
                    <w:bottom w:val="single" w:sz="8" w:space="0" w:color="FFFFFF"/>
                    <w:right w:val="single" w:sz="8" w:space="0" w:color="FFFFFF"/>
                  </w:tcBorders>
                  <w:shd w:val="clear" w:color="000000" w:fill="FDE9D9"/>
                  <w:noWrap/>
                  <w:vAlign w:val="center"/>
                  <w:hideMark/>
                </w:tcPr>
                <w:p w14:paraId="0AC6426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33%</w:t>
                  </w:r>
                </w:p>
              </w:tc>
              <w:tc>
                <w:tcPr>
                  <w:tcW w:w="942" w:type="dxa"/>
                  <w:tcBorders>
                    <w:top w:val="nil"/>
                    <w:left w:val="nil"/>
                    <w:bottom w:val="single" w:sz="8" w:space="0" w:color="FFFFFF"/>
                    <w:right w:val="single" w:sz="8" w:space="0" w:color="FFFFFF"/>
                  </w:tcBorders>
                  <w:shd w:val="clear" w:color="000000" w:fill="FDE9D9"/>
                  <w:noWrap/>
                  <w:vAlign w:val="center"/>
                  <w:hideMark/>
                </w:tcPr>
                <w:p w14:paraId="72EF385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69%</w:t>
                  </w:r>
                </w:p>
              </w:tc>
              <w:tc>
                <w:tcPr>
                  <w:tcW w:w="1197" w:type="dxa"/>
                  <w:tcBorders>
                    <w:top w:val="nil"/>
                    <w:left w:val="nil"/>
                    <w:bottom w:val="single" w:sz="8" w:space="0" w:color="FFFFFF"/>
                    <w:right w:val="single" w:sz="8" w:space="0" w:color="FFFFFF"/>
                  </w:tcBorders>
                  <w:shd w:val="clear" w:color="000000" w:fill="FDE9D9"/>
                  <w:noWrap/>
                  <w:vAlign w:val="center"/>
                  <w:hideMark/>
                </w:tcPr>
                <w:p w14:paraId="5E51859F"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企业债3Y</w:t>
                  </w:r>
                </w:p>
              </w:tc>
              <w:tc>
                <w:tcPr>
                  <w:tcW w:w="687" w:type="dxa"/>
                  <w:tcBorders>
                    <w:top w:val="nil"/>
                    <w:left w:val="nil"/>
                    <w:bottom w:val="single" w:sz="8" w:space="0" w:color="FFFFFF"/>
                    <w:right w:val="single" w:sz="8" w:space="0" w:color="FFFFFF"/>
                  </w:tcBorders>
                  <w:shd w:val="clear" w:color="000000" w:fill="FDE9D9"/>
                  <w:noWrap/>
                  <w:vAlign w:val="center"/>
                  <w:hideMark/>
                </w:tcPr>
                <w:p w14:paraId="7880162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64DDC30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2A8F077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22%</w:t>
                  </w:r>
                </w:p>
              </w:tc>
              <w:tc>
                <w:tcPr>
                  <w:tcW w:w="942" w:type="dxa"/>
                  <w:tcBorders>
                    <w:top w:val="nil"/>
                    <w:left w:val="nil"/>
                    <w:bottom w:val="single" w:sz="8" w:space="0" w:color="FFFFFF"/>
                    <w:right w:val="single" w:sz="8" w:space="0" w:color="FFFFFF"/>
                  </w:tcBorders>
                  <w:shd w:val="clear" w:color="000000" w:fill="FFC7CE"/>
                  <w:noWrap/>
                  <w:vAlign w:val="center"/>
                  <w:hideMark/>
                </w:tcPr>
                <w:p w14:paraId="4C1DE447" w14:textId="77777777" w:rsidR="00453A8C" w:rsidRPr="00453A8C" w:rsidRDefault="00453A8C" w:rsidP="00453A8C">
                  <w:pPr>
                    <w:widowControl/>
                    <w:jc w:val="center"/>
                    <w:rPr>
                      <w:rFonts w:eastAsia="等线" w:cs="Calibri"/>
                      <w:color w:val="9C0006"/>
                      <w:kern w:val="0"/>
                      <w:szCs w:val="21"/>
                    </w:rPr>
                  </w:pPr>
                  <w:r w:rsidRPr="00453A8C">
                    <w:rPr>
                      <w:rFonts w:eastAsia="等线" w:cs="Calibri"/>
                      <w:color w:val="9C0006"/>
                      <w:kern w:val="0"/>
                      <w:szCs w:val="21"/>
                    </w:rPr>
                    <w:t>82%</w:t>
                  </w:r>
                </w:p>
              </w:tc>
            </w:tr>
            <w:tr w:rsidR="00453A8C" w:rsidRPr="00453A8C" w14:paraId="55A4E4AC"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EEDD232"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64A5B5C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CD5B4"/>
                  <w:noWrap/>
                  <w:vAlign w:val="center"/>
                  <w:hideMark/>
                </w:tcPr>
                <w:p w14:paraId="443BAFE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40D7AFC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CD5B4"/>
                  <w:noWrap/>
                  <w:vAlign w:val="center"/>
                  <w:hideMark/>
                </w:tcPr>
                <w:p w14:paraId="2D7FE327"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57%</w:t>
                  </w:r>
                </w:p>
              </w:tc>
              <w:tc>
                <w:tcPr>
                  <w:tcW w:w="1197" w:type="dxa"/>
                  <w:tcBorders>
                    <w:top w:val="nil"/>
                    <w:left w:val="nil"/>
                    <w:bottom w:val="single" w:sz="8" w:space="0" w:color="FFFFFF"/>
                    <w:right w:val="single" w:sz="8" w:space="0" w:color="FFFFFF"/>
                  </w:tcBorders>
                  <w:shd w:val="clear" w:color="000000" w:fill="FCD5B4"/>
                  <w:noWrap/>
                  <w:vAlign w:val="center"/>
                  <w:hideMark/>
                </w:tcPr>
                <w:p w14:paraId="1E3A11EE"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企业债5Y</w:t>
                  </w:r>
                </w:p>
              </w:tc>
              <w:tc>
                <w:tcPr>
                  <w:tcW w:w="687" w:type="dxa"/>
                  <w:tcBorders>
                    <w:top w:val="nil"/>
                    <w:left w:val="nil"/>
                    <w:bottom w:val="single" w:sz="8" w:space="0" w:color="FFFFFF"/>
                    <w:right w:val="single" w:sz="8" w:space="0" w:color="FFFFFF"/>
                  </w:tcBorders>
                  <w:shd w:val="clear" w:color="000000" w:fill="FCD5B4"/>
                  <w:noWrap/>
                  <w:vAlign w:val="center"/>
                  <w:hideMark/>
                </w:tcPr>
                <w:p w14:paraId="34CEAB3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778BD31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5%</w:t>
                  </w:r>
                </w:p>
              </w:tc>
              <w:tc>
                <w:tcPr>
                  <w:tcW w:w="942" w:type="dxa"/>
                  <w:tcBorders>
                    <w:top w:val="nil"/>
                    <w:left w:val="nil"/>
                    <w:bottom w:val="single" w:sz="8" w:space="0" w:color="FFFFFF"/>
                    <w:right w:val="single" w:sz="8" w:space="0" w:color="FFFFFF"/>
                  </w:tcBorders>
                  <w:shd w:val="clear" w:color="000000" w:fill="FCD5B4"/>
                  <w:noWrap/>
                  <w:vAlign w:val="center"/>
                  <w:hideMark/>
                </w:tcPr>
                <w:p w14:paraId="4A2F1A3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CD5B4"/>
                  <w:noWrap/>
                  <w:vAlign w:val="center"/>
                  <w:hideMark/>
                </w:tcPr>
                <w:p w14:paraId="0C0C79A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65%</w:t>
                  </w:r>
                </w:p>
              </w:tc>
            </w:tr>
            <w:tr w:rsidR="00453A8C" w:rsidRPr="00453A8C" w14:paraId="5C4A8455"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1E579DF"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4B811C4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3325C4F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4B01883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DE9D9"/>
                  <w:noWrap/>
                  <w:vAlign w:val="center"/>
                  <w:hideMark/>
                </w:tcPr>
                <w:p w14:paraId="14D3ECC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47%</w:t>
                  </w:r>
                </w:p>
              </w:tc>
              <w:tc>
                <w:tcPr>
                  <w:tcW w:w="1197" w:type="dxa"/>
                  <w:tcBorders>
                    <w:top w:val="nil"/>
                    <w:left w:val="nil"/>
                    <w:bottom w:val="single" w:sz="8" w:space="0" w:color="FFFFFF"/>
                    <w:right w:val="single" w:sz="8" w:space="0" w:color="FFFFFF"/>
                  </w:tcBorders>
                  <w:shd w:val="clear" w:color="000000" w:fill="FDE9D9"/>
                  <w:noWrap/>
                  <w:vAlign w:val="center"/>
                  <w:hideMark/>
                </w:tcPr>
                <w:p w14:paraId="212EF0EC" w14:textId="77777777" w:rsidR="00453A8C" w:rsidRPr="00453A8C" w:rsidRDefault="00453A8C" w:rsidP="00453A8C">
                  <w:pPr>
                    <w:widowControl/>
                    <w:jc w:val="center"/>
                    <w:rPr>
                      <w:rFonts w:ascii="楷体" w:eastAsia="楷体" w:hAnsi="楷体" w:cs="宋体"/>
                      <w:color w:val="000000"/>
                      <w:kern w:val="0"/>
                      <w:sz w:val="20"/>
                      <w:szCs w:val="20"/>
                    </w:rPr>
                  </w:pPr>
                  <w:r w:rsidRPr="00453A8C">
                    <w:rPr>
                      <w:rFonts w:ascii="楷体" w:eastAsia="楷体" w:hAnsi="楷体" w:cs="宋体" w:hint="eastAsia"/>
                      <w:color w:val="000000"/>
                      <w:kern w:val="0"/>
                      <w:sz w:val="20"/>
                      <w:szCs w:val="20"/>
                    </w:rPr>
                    <w:t>企业债7Y</w:t>
                  </w:r>
                </w:p>
              </w:tc>
              <w:tc>
                <w:tcPr>
                  <w:tcW w:w="687" w:type="dxa"/>
                  <w:tcBorders>
                    <w:top w:val="nil"/>
                    <w:left w:val="nil"/>
                    <w:bottom w:val="single" w:sz="8" w:space="0" w:color="FFFFFF"/>
                    <w:right w:val="single" w:sz="8" w:space="0" w:color="FFFFFF"/>
                  </w:tcBorders>
                  <w:shd w:val="clear" w:color="000000" w:fill="FDE9D9"/>
                  <w:noWrap/>
                  <w:vAlign w:val="center"/>
                  <w:hideMark/>
                </w:tcPr>
                <w:p w14:paraId="20DD5FC8"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DE9D9"/>
                  <w:noWrap/>
                  <w:vAlign w:val="center"/>
                  <w:hideMark/>
                </w:tcPr>
                <w:p w14:paraId="67B0518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w:t>
                  </w:r>
                </w:p>
              </w:tc>
              <w:tc>
                <w:tcPr>
                  <w:tcW w:w="942" w:type="dxa"/>
                  <w:tcBorders>
                    <w:top w:val="nil"/>
                    <w:left w:val="nil"/>
                    <w:bottom w:val="single" w:sz="8" w:space="0" w:color="FFFFFF"/>
                    <w:right w:val="single" w:sz="8" w:space="0" w:color="FFFFFF"/>
                  </w:tcBorders>
                  <w:shd w:val="clear" w:color="000000" w:fill="FDE9D9"/>
                  <w:noWrap/>
                  <w:vAlign w:val="center"/>
                  <w:hideMark/>
                </w:tcPr>
                <w:p w14:paraId="723461A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DE9D9"/>
                  <w:noWrap/>
                  <w:vAlign w:val="center"/>
                  <w:hideMark/>
                </w:tcPr>
                <w:p w14:paraId="5E93846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52%</w:t>
                  </w:r>
                </w:p>
              </w:tc>
            </w:tr>
            <w:tr w:rsidR="00453A8C" w:rsidRPr="00453A8C" w14:paraId="5A8A5864" w14:textId="77777777" w:rsidTr="00453A8C">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1C39DD3"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388A858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28%</w:t>
                  </w:r>
                </w:p>
              </w:tc>
              <w:tc>
                <w:tcPr>
                  <w:tcW w:w="942" w:type="dxa"/>
                  <w:tcBorders>
                    <w:top w:val="nil"/>
                    <w:left w:val="nil"/>
                    <w:bottom w:val="single" w:sz="8" w:space="0" w:color="FFFFFF"/>
                    <w:right w:val="single" w:sz="8" w:space="0" w:color="FFFFFF"/>
                  </w:tcBorders>
                  <w:shd w:val="clear" w:color="000000" w:fill="FCD5B4"/>
                  <w:noWrap/>
                  <w:vAlign w:val="center"/>
                  <w:hideMark/>
                </w:tcPr>
                <w:p w14:paraId="3531C97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26%</w:t>
                  </w:r>
                </w:p>
              </w:tc>
              <w:tc>
                <w:tcPr>
                  <w:tcW w:w="942" w:type="dxa"/>
                  <w:tcBorders>
                    <w:top w:val="nil"/>
                    <w:left w:val="nil"/>
                    <w:bottom w:val="single" w:sz="8" w:space="0" w:color="FFFFFF"/>
                    <w:right w:val="single" w:sz="8" w:space="0" w:color="FFFFFF"/>
                  </w:tcBorders>
                  <w:shd w:val="clear" w:color="000000" w:fill="FCD5B4"/>
                  <w:noWrap/>
                  <w:vAlign w:val="center"/>
                  <w:hideMark/>
                </w:tcPr>
                <w:p w14:paraId="520A94E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CD5B4"/>
                  <w:noWrap/>
                  <w:vAlign w:val="center"/>
                  <w:hideMark/>
                </w:tcPr>
                <w:p w14:paraId="7AFF1E0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66%</w:t>
                  </w:r>
                </w:p>
              </w:tc>
              <w:tc>
                <w:tcPr>
                  <w:tcW w:w="1197" w:type="dxa"/>
                  <w:tcBorders>
                    <w:top w:val="nil"/>
                    <w:left w:val="nil"/>
                    <w:bottom w:val="single" w:sz="8" w:space="0" w:color="FFFFFF"/>
                    <w:right w:val="single" w:sz="8" w:space="0" w:color="FFFFFF"/>
                  </w:tcBorders>
                  <w:shd w:val="clear" w:color="000000" w:fill="FCD5B4"/>
                  <w:noWrap/>
                  <w:vAlign w:val="center"/>
                  <w:hideMark/>
                </w:tcPr>
                <w:p w14:paraId="282F267E"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3Y</w:t>
                  </w:r>
                </w:p>
              </w:tc>
              <w:tc>
                <w:tcPr>
                  <w:tcW w:w="687" w:type="dxa"/>
                  <w:tcBorders>
                    <w:top w:val="nil"/>
                    <w:left w:val="nil"/>
                    <w:bottom w:val="single" w:sz="8" w:space="0" w:color="FFFFFF"/>
                    <w:right w:val="single" w:sz="8" w:space="0" w:color="FFFFFF"/>
                  </w:tcBorders>
                  <w:shd w:val="clear" w:color="000000" w:fill="FCD5B4"/>
                  <w:noWrap/>
                  <w:vAlign w:val="center"/>
                  <w:hideMark/>
                </w:tcPr>
                <w:p w14:paraId="33E47BAD"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5F6975C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19%</w:t>
                  </w:r>
                </w:p>
              </w:tc>
              <w:tc>
                <w:tcPr>
                  <w:tcW w:w="942" w:type="dxa"/>
                  <w:tcBorders>
                    <w:top w:val="nil"/>
                    <w:left w:val="nil"/>
                    <w:bottom w:val="single" w:sz="8" w:space="0" w:color="FFFFFF"/>
                    <w:right w:val="single" w:sz="8" w:space="0" w:color="FFFFFF"/>
                  </w:tcBorders>
                  <w:shd w:val="clear" w:color="000000" w:fill="FCD5B4"/>
                  <w:noWrap/>
                  <w:vAlign w:val="center"/>
                  <w:hideMark/>
                </w:tcPr>
                <w:p w14:paraId="6BD7927A"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CD5B4"/>
                  <w:noWrap/>
                  <w:vAlign w:val="center"/>
                  <w:hideMark/>
                </w:tcPr>
                <w:p w14:paraId="481B4DF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77%</w:t>
                  </w:r>
                </w:p>
              </w:tc>
            </w:tr>
            <w:tr w:rsidR="00453A8C" w:rsidRPr="00453A8C" w14:paraId="3213A22C" w14:textId="77777777" w:rsidTr="00453A8C">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86DCA80"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76FE3FA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17%</w:t>
                  </w:r>
                </w:p>
              </w:tc>
              <w:tc>
                <w:tcPr>
                  <w:tcW w:w="942" w:type="dxa"/>
                  <w:tcBorders>
                    <w:top w:val="nil"/>
                    <w:left w:val="nil"/>
                    <w:bottom w:val="single" w:sz="8" w:space="0" w:color="FFFFFF"/>
                    <w:right w:val="single" w:sz="8" w:space="0" w:color="FFFFFF"/>
                  </w:tcBorders>
                  <w:shd w:val="clear" w:color="000000" w:fill="FDE9D9"/>
                  <w:noWrap/>
                  <w:vAlign w:val="center"/>
                  <w:hideMark/>
                </w:tcPr>
                <w:p w14:paraId="12DBE6FF"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23%</w:t>
                  </w:r>
                </w:p>
              </w:tc>
              <w:tc>
                <w:tcPr>
                  <w:tcW w:w="942" w:type="dxa"/>
                  <w:tcBorders>
                    <w:top w:val="nil"/>
                    <w:left w:val="nil"/>
                    <w:bottom w:val="single" w:sz="8" w:space="0" w:color="FFFFFF"/>
                    <w:right w:val="single" w:sz="8" w:space="0" w:color="FFFFFF"/>
                  </w:tcBorders>
                  <w:shd w:val="clear" w:color="000000" w:fill="FDE9D9"/>
                  <w:noWrap/>
                  <w:vAlign w:val="center"/>
                  <w:hideMark/>
                </w:tcPr>
                <w:p w14:paraId="19398082"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DE9D9"/>
                  <w:noWrap/>
                  <w:vAlign w:val="center"/>
                  <w:hideMark/>
                </w:tcPr>
                <w:p w14:paraId="4E03B3B9"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73%</w:t>
                  </w:r>
                </w:p>
              </w:tc>
              <w:tc>
                <w:tcPr>
                  <w:tcW w:w="1197" w:type="dxa"/>
                  <w:tcBorders>
                    <w:top w:val="nil"/>
                    <w:left w:val="nil"/>
                    <w:bottom w:val="single" w:sz="8" w:space="0" w:color="FFFFFF"/>
                    <w:right w:val="single" w:sz="8" w:space="0" w:color="FFFFFF"/>
                  </w:tcBorders>
                  <w:shd w:val="clear" w:color="000000" w:fill="FDE9D9"/>
                  <w:noWrap/>
                  <w:vAlign w:val="center"/>
                  <w:hideMark/>
                </w:tcPr>
                <w:p w14:paraId="7F129865"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5Y</w:t>
                  </w:r>
                </w:p>
              </w:tc>
              <w:tc>
                <w:tcPr>
                  <w:tcW w:w="687" w:type="dxa"/>
                  <w:tcBorders>
                    <w:top w:val="nil"/>
                    <w:left w:val="nil"/>
                    <w:bottom w:val="single" w:sz="8" w:space="0" w:color="FFFFFF"/>
                    <w:right w:val="single" w:sz="8" w:space="0" w:color="FFFFFF"/>
                  </w:tcBorders>
                  <w:shd w:val="clear" w:color="000000" w:fill="FDE9D9"/>
                  <w:noWrap/>
                  <w:vAlign w:val="center"/>
                  <w:hideMark/>
                </w:tcPr>
                <w:p w14:paraId="076D52E1"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w:t>
                  </w:r>
                </w:p>
              </w:tc>
              <w:tc>
                <w:tcPr>
                  <w:tcW w:w="942" w:type="dxa"/>
                  <w:tcBorders>
                    <w:top w:val="nil"/>
                    <w:left w:val="nil"/>
                    <w:bottom w:val="single" w:sz="8" w:space="0" w:color="FFFFFF"/>
                    <w:right w:val="single" w:sz="8" w:space="0" w:color="FFFFFF"/>
                  </w:tcBorders>
                  <w:shd w:val="clear" w:color="000000" w:fill="FDE9D9"/>
                  <w:noWrap/>
                  <w:vAlign w:val="center"/>
                  <w:hideMark/>
                </w:tcPr>
                <w:p w14:paraId="081142B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DE9D9"/>
                  <w:noWrap/>
                  <w:vAlign w:val="center"/>
                  <w:hideMark/>
                </w:tcPr>
                <w:p w14:paraId="1938B96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24%</w:t>
                  </w:r>
                </w:p>
              </w:tc>
              <w:tc>
                <w:tcPr>
                  <w:tcW w:w="942" w:type="dxa"/>
                  <w:tcBorders>
                    <w:top w:val="nil"/>
                    <w:left w:val="nil"/>
                    <w:bottom w:val="single" w:sz="8" w:space="0" w:color="FFFFFF"/>
                    <w:right w:val="single" w:sz="8" w:space="0" w:color="FFFFFF"/>
                  </w:tcBorders>
                  <w:shd w:val="clear" w:color="000000" w:fill="FFC7CE"/>
                  <w:noWrap/>
                  <w:vAlign w:val="center"/>
                  <w:hideMark/>
                </w:tcPr>
                <w:p w14:paraId="302C6461" w14:textId="77777777" w:rsidR="00453A8C" w:rsidRPr="00453A8C" w:rsidRDefault="00453A8C" w:rsidP="00453A8C">
                  <w:pPr>
                    <w:widowControl/>
                    <w:jc w:val="center"/>
                    <w:rPr>
                      <w:rFonts w:eastAsia="等线" w:cs="Calibri"/>
                      <w:color w:val="9C0006"/>
                      <w:kern w:val="0"/>
                      <w:szCs w:val="21"/>
                    </w:rPr>
                  </w:pPr>
                  <w:r w:rsidRPr="00453A8C">
                    <w:rPr>
                      <w:rFonts w:eastAsia="等线" w:cs="Calibri"/>
                      <w:color w:val="9C0006"/>
                      <w:kern w:val="0"/>
                      <w:szCs w:val="21"/>
                    </w:rPr>
                    <w:t>80%</w:t>
                  </w:r>
                </w:p>
              </w:tc>
            </w:tr>
            <w:tr w:rsidR="00453A8C" w:rsidRPr="00453A8C" w14:paraId="595051BB" w14:textId="77777777" w:rsidTr="00453A8C">
              <w:trPr>
                <w:trHeight w:val="290"/>
              </w:trPr>
              <w:tc>
                <w:tcPr>
                  <w:tcW w:w="1160" w:type="dxa"/>
                  <w:tcBorders>
                    <w:top w:val="nil"/>
                    <w:left w:val="nil"/>
                    <w:bottom w:val="nil"/>
                    <w:right w:val="nil"/>
                  </w:tcBorders>
                  <w:shd w:val="clear" w:color="000000" w:fill="FCD5B4"/>
                  <w:noWrap/>
                  <w:vAlign w:val="center"/>
                  <w:hideMark/>
                </w:tcPr>
                <w:p w14:paraId="36415005"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02A7A816"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74E8066B"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044B1A15"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50344EB3"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68%</w:t>
                  </w:r>
                </w:p>
              </w:tc>
              <w:tc>
                <w:tcPr>
                  <w:tcW w:w="1197" w:type="dxa"/>
                  <w:tcBorders>
                    <w:top w:val="nil"/>
                    <w:left w:val="nil"/>
                    <w:bottom w:val="nil"/>
                    <w:right w:val="nil"/>
                  </w:tcBorders>
                  <w:shd w:val="clear" w:color="000000" w:fill="FCD5B4"/>
                  <w:noWrap/>
                  <w:vAlign w:val="center"/>
                  <w:hideMark/>
                </w:tcPr>
                <w:p w14:paraId="01BC1647" w14:textId="77777777" w:rsidR="00453A8C" w:rsidRPr="00453A8C" w:rsidRDefault="00453A8C" w:rsidP="00453A8C">
                  <w:pPr>
                    <w:widowControl/>
                    <w:jc w:val="center"/>
                    <w:rPr>
                      <w:rFonts w:ascii="楷体" w:eastAsia="楷体" w:hAnsi="楷体" w:cs="宋体"/>
                      <w:color w:val="000000"/>
                      <w:kern w:val="0"/>
                      <w:sz w:val="20"/>
                      <w:szCs w:val="20"/>
                    </w:rPr>
                  </w:pPr>
                  <w:proofErr w:type="gramStart"/>
                  <w:r w:rsidRPr="00453A8C">
                    <w:rPr>
                      <w:rFonts w:ascii="楷体" w:eastAsia="楷体" w:hAnsi="楷体" w:cs="宋体" w:hint="eastAsia"/>
                      <w:color w:val="000000"/>
                      <w:kern w:val="0"/>
                      <w:sz w:val="20"/>
                      <w:szCs w:val="20"/>
                    </w:rPr>
                    <w:t>城投债</w:t>
                  </w:r>
                  <w:proofErr w:type="gramEnd"/>
                  <w:r w:rsidRPr="00453A8C">
                    <w:rPr>
                      <w:rFonts w:ascii="楷体" w:eastAsia="楷体" w:hAnsi="楷体" w:cs="宋体" w:hint="eastAsia"/>
                      <w:color w:val="000000"/>
                      <w:kern w:val="0"/>
                      <w:sz w:val="20"/>
                      <w:szCs w:val="20"/>
                    </w:rPr>
                    <w:t>7Y</w:t>
                  </w:r>
                </w:p>
              </w:tc>
              <w:tc>
                <w:tcPr>
                  <w:tcW w:w="687" w:type="dxa"/>
                  <w:tcBorders>
                    <w:top w:val="nil"/>
                    <w:left w:val="nil"/>
                    <w:bottom w:val="single" w:sz="8" w:space="0" w:color="FFFFFF"/>
                    <w:right w:val="single" w:sz="8" w:space="0" w:color="FFFFFF"/>
                  </w:tcBorders>
                  <w:shd w:val="clear" w:color="000000" w:fill="FCD5B4"/>
                  <w:noWrap/>
                  <w:vAlign w:val="center"/>
                  <w:hideMark/>
                </w:tcPr>
                <w:p w14:paraId="27AF4ED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CD5B4"/>
                  <w:noWrap/>
                  <w:vAlign w:val="center"/>
                  <w:hideMark/>
                </w:tcPr>
                <w:p w14:paraId="0B6FD4DE"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20%</w:t>
                  </w:r>
                </w:p>
              </w:tc>
              <w:tc>
                <w:tcPr>
                  <w:tcW w:w="942" w:type="dxa"/>
                  <w:tcBorders>
                    <w:top w:val="nil"/>
                    <w:left w:val="nil"/>
                    <w:bottom w:val="single" w:sz="8" w:space="0" w:color="FFFFFF"/>
                    <w:right w:val="single" w:sz="8" w:space="0" w:color="FFFFFF"/>
                  </w:tcBorders>
                  <w:shd w:val="clear" w:color="000000" w:fill="FCD5B4"/>
                  <w:noWrap/>
                  <w:vAlign w:val="center"/>
                  <w:hideMark/>
                </w:tcPr>
                <w:p w14:paraId="5C45F574"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CD5B4"/>
                  <w:noWrap/>
                  <w:vAlign w:val="center"/>
                  <w:hideMark/>
                </w:tcPr>
                <w:p w14:paraId="02E654D0" w14:textId="77777777" w:rsidR="00453A8C" w:rsidRPr="00453A8C" w:rsidRDefault="00453A8C" w:rsidP="00453A8C">
                  <w:pPr>
                    <w:widowControl/>
                    <w:jc w:val="center"/>
                    <w:rPr>
                      <w:rFonts w:eastAsia="等线" w:cs="Calibri"/>
                      <w:color w:val="000000"/>
                      <w:kern w:val="0"/>
                      <w:szCs w:val="21"/>
                    </w:rPr>
                  </w:pPr>
                  <w:r w:rsidRPr="00453A8C">
                    <w:rPr>
                      <w:rFonts w:eastAsia="等线" w:cs="Calibri"/>
                      <w:color w:val="000000"/>
                      <w:kern w:val="0"/>
                      <w:szCs w:val="21"/>
                    </w:rPr>
                    <w:t>79%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5C765DE"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453A8C">
        <w:rPr>
          <w:rFonts w:ascii="华文楷体" w:hAnsi="华文楷体" w:hint="eastAsia"/>
          <w:sz w:val="24"/>
          <w:szCs w:val="24"/>
          <w:lang w:eastAsia="zh-CN"/>
        </w:rPr>
        <w:t>本周调整为主</w:t>
      </w:r>
      <w:r w:rsidR="00AE0E3F">
        <w:rPr>
          <w:rFonts w:ascii="华文楷体" w:hAnsi="华文楷体" w:hint="eastAsia"/>
          <w:sz w:val="24"/>
          <w:szCs w:val="24"/>
          <w:lang w:eastAsia="zh-CN"/>
        </w:rPr>
        <w:t>，各主要板块</w:t>
      </w:r>
      <w:r w:rsidR="00453A8C">
        <w:rPr>
          <w:rFonts w:ascii="华文楷体" w:hAnsi="华文楷体" w:hint="eastAsia"/>
          <w:sz w:val="24"/>
          <w:szCs w:val="24"/>
          <w:lang w:eastAsia="zh-CN"/>
        </w:rPr>
        <w:t>小幅修复</w:t>
      </w:r>
      <w:r w:rsidR="00AE0E3F">
        <w:rPr>
          <w:rFonts w:ascii="华文楷体" w:hAnsi="华文楷体" w:hint="eastAsia"/>
          <w:sz w:val="24"/>
          <w:szCs w:val="24"/>
          <w:lang w:eastAsia="zh-CN"/>
        </w:rPr>
        <w:t>，其</w:t>
      </w:r>
      <w:r w:rsidR="004C22D4">
        <w:rPr>
          <w:rFonts w:ascii="华文楷体" w:hAnsi="华文楷体" w:hint="eastAsia"/>
          <w:sz w:val="24"/>
          <w:szCs w:val="24"/>
          <w:lang w:eastAsia="zh-CN"/>
        </w:rPr>
        <w:t>成交量适度萎缩</w:t>
      </w:r>
      <w:r w:rsidRPr="003926C0">
        <w:rPr>
          <w:rFonts w:ascii="华文楷体" w:hAnsi="华文楷体" w:hint="eastAsia"/>
          <w:sz w:val="24"/>
          <w:szCs w:val="24"/>
          <w:lang w:eastAsia="zh-CN"/>
        </w:rPr>
        <w:t>。</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w:t>
      </w:r>
      <w:r w:rsidR="004C22D4" w:rsidRPr="004C22D4">
        <w:rPr>
          <w:rFonts w:ascii="华文楷体" w:hAnsi="华文楷体" w:hint="eastAsia"/>
          <w:sz w:val="24"/>
          <w:szCs w:val="24"/>
          <w:lang w:eastAsia="zh-CN"/>
        </w:rPr>
        <w:t>转债品种受非银赎回影响，同时叠加前期估值略高，且市场调整后股市预期转弱，上周抛盘较重表现相对较弱</w:t>
      </w:r>
      <w:r w:rsidR="004C22D4">
        <w:rPr>
          <w:rFonts w:ascii="华文楷体" w:hAnsi="华文楷体" w:hint="eastAsia"/>
          <w:sz w:val="24"/>
          <w:szCs w:val="24"/>
          <w:lang w:eastAsia="zh-CN"/>
        </w:rPr>
        <w:t>，持续</w:t>
      </w:r>
      <w:r w:rsidR="00AE0E3F" w:rsidRPr="00AE0E3F">
        <w:rPr>
          <w:rFonts w:ascii="华文楷体" w:hAnsi="华文楷体" w:hint="eastAsia"/>
          <w:sz w:val="24"/>
          <w:szCs w:val="24"/>
          <w:lang w:eastAsia="zh-CN"/>
        </w:rPr>
        <w:t>关注电子和计算机，电力设备和医药板块以及石油化工等板块。</w:t>
      </w:r>
      <w:r w:rsidR="00705D32">
        <w:rPr>
          <w:rFonts w:ascii="华文楷体" w:hAnsi="华文楷体" w:hint="eastAsia"/>
          <w:sz w:val="24"/>
          <w:szCs w:val="24"/>
          <w:lang w:eastAsia="zh-CN"/>
        </w:rPr>
        <w:t>市场表现上</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4C22D4">
        <w:rPr>
          <w:rFonts w:ascii="华文楷体" w:hAnsi="华文楷体" w:hint="eastAsia"/>
          <w:sz w:val="24"/>
          <w:szCs w:val="24"/>
          <w:lang w:eastAsia="zh-CN"/>
        </w:rPr>
        <w:t>+</w:t>
      </w:r>
      <w:r w:rsidR="004C22D4">
        <w:rPr>
          <w:rFonts w:ascii="华文楷体" w:hAnsi="华文楷体"/>
          <w:sz w:val="24"/>
          <w:szCs w:val="24"/>
          <w:lang w:eastAsia="zh-CN"/>
        </w:rPr>
        <w:t>0.4</w:t>
      </w:r>
      <w:r w:rsidR="00AC28BB">
        <w:rPr>
          <w:rFonts w:ascii="华文楷体" w:hAnsi="华文楷体"/>
          <w:sz w:val="24"/>
          <w:szCs w:val="24"/>
          <w:lang w:eastAsia="zh-CN"/>
        </w:rPr>
        <w:t>%、</w:t>
      </w:r>
      <w:r w:rsidR="004C22D4">
        <w:rPr>
          <w:rFonts w:ascii="华文楷体" w:hAnsi="华文楷体" w:hint="eastAsia"/>
          <w:sz w:val="24"/>
          <w:szCs w:val="24"/>
          <w:lang w:eastAsia="zh-CN"/>
        </w:rPr>
        <w:t>+</w:t>
      </w:r>
      <w:r w:rsidR="004C22D4">
        <w:rPr>
          <w:rFonts w:ascii="华文楷体" w:hAnsi="华文楷体"/>
          <w:sz w:val="24"/>
          <w:szCs w:val="24"/>
          <w:lang w:eastAsia="zh-CN"/>
        </w:rPr>
        <w:t>2.1</w:t>
      </w:r>
      <w:r w:rsidR="00AC28BB">
        <w:rPr>
          <w:rFonts w:ascii="华文楷体" w:hAnsi="华文楷体"/>
          <w:sz w:val="24"/>
          <w:szCs w:val="24"/>
          <w:lang w:eastAsia="zh-CN"/>
        </w:rPr>
        <w:t>%、</w:t>
      </w:r>
      <w:r w:rsidR="004C22D4">
        <w:rPr>
          <w:rFonts w:ascii="华文楷体" w:hAnsi="华文楷体" w:hint="eastAsia"/>
          <w:sz w:val="24"/>
          <w:szCs w:val="24"/>
          <w:lang w:eastAsia="zh-CN"/>
        </w:rPr>
        <w:t>+</w:t>
      </w:r>
      <w:r w:rsidR="004C22D4">
        <w:rPr>
          <w:rFonts w:ascii="华文楷体" w:hAnsi="华文楷体"/>
          <w:sz w:val="24"/>
          <w:szCs w:val="24"/>
          <w:lang w:eastAsia="zh-CN"/>
        </w:rPr>
        <w:t>3.4</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4C22D4">
        <w:rPr>
          <w:rFonts w:ascii="华文楷体" w:hAnsi="华文楷体" w:hint="eastAsia"/>
          <w:sz w:val="24"/>
          <w:szCs w:val="24"/>
          <w:lang w:eastAsia="zh-CN"/>
        </w:rPr>
        <w:t>+</w:t>
      </w:r>
      <w:r w:rsidR="004C22D4">
        <w:rPr>
          <w:rFonts w:ascii="华文楷体" w:hAnsi="华文楷体"/>
          <w:sz w:val="24"/>
          <w:szCs w:val="24"/>
          <w:lang w:eastAsia="zh-CN"/>
        </w:rPr>
        <w:t>2.5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C22D4">
        <w:rPr>
          <w:rFonts w:ascii="华文楷体" w:hAnsi="华文楷体" w:hint="eastAsia"/>
          <w:sz w:val="24"/>
          <w:szCs w:val="24"/>
          <w:lang w:eastAsia="zh-CN"/>
        </w:rPr>
        <w:t>表现相对较弱</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AE0E3F">
        <w:rPr>
          <w:rFonts w:ascii="华文楷体" w:hAnsi="华文楷体" w:hint="eastAsia"/>
          <w:sz w:val="24"/>
          <w:szCs w:val="24"/>
          <w:lang w:eastAsia="zh-CN"/>
        </w:rPr>
        <w:t>下跌</w:t>
      </w:r>
      <w:r w:rsidR="004C22D4">
        <w:rPr>
          <w:rFonts w:ascii="华文楷体" w:hAnsi="华文楷体"/>
          <w:sz w:val="24"/>
          <w:szCs w:val="24"/>
          <w:lang w:eastAsia="zh-CN"/>
        </w:rPr>
        <w:t>2.3</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4C22D4">
        <w:tblPrEx>
          <w:tblCellMar>
            <w:left w:w="108" w:type="dxa"/>
            <w:right w:w="108" w:type="dxa"/>
          </w:tblCellMar>
        </w:tblPrEx>
        <w:trPr>
          <w:trHeight w:val="2921"/>
          <w:jc w:val="center"/>
        </w:trPr>
        <w:tc>
          <w:tcPr>
            <w:tcW w:w="4939" w:type="dxa"/>
            <w:vAlign w:val="center"/>
          </w:tcPr>
          <w:p w14:paraId="5C83721A" w14:textId="06051D95" w:rsidR="00E0626C" w:rsidRPr="00345C30" w:rsidRDefault="00453A8C" w:rsidP="00345C30">
            <w:pPr>
              <w:widowControl/>
              <w:jc w:val="left"/>
              <w:rPr>
                <w:rFonts w:ascii="宋体" w:hAnsi="宋体" w:cs="宋体"/>
                <w:kern w:val="0"/>
                <w:sz w:val="24"/>
                <w:szCs w:val="24"/>
              </w:rPr>
            </w:pPr>
            <w:r w:rsidRPr="00453A8C">
              <w:rPr>
                <w:rFonts w:ascii="宋体" w:hAnsi="宋体" w:cs="宋体"/>
                <w:noProof/>
                <w:kern w:val="0"/>
                <w:sz w:val="24"/>
                <w:szCs w:val="24"/>
              </w:rPr>
              <w:drawing>
                <wp:inline distT="0" distB="0" distL="0" distR="0" wp14:anchorId="421EDC03" wp14:editId="2D70BF82">
                  <wp:extent cx="2999105" cy="1956932"/>
                  <wp:effectExtent l="0" t="0" r="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8136" cy="1962824"/>
                          </a:xfrm>
                          <a:prstGeom prst="rect">
                            <a:avLst/>
                          </a:prstGeom>
                          <a:noFill/>
                          <a:ln>
                            <a:noFill/>
                          </a:ln>
                        </pic:spPr>
                      </pic:pic>
                    </a:graphicData>
                  </a:graphic>
                </wp:inline>
              </w:drawing>
            </w:r>
          </w:p>
        </w:tc>
        <w:tc>
          <w:tcPr>
            <w:tcW w:w="4938" w:type="dxa"/>
            <w:vAlign w:val="center"/>
          </w:tcPr>
          <w:p w14:paraId="39BD4383" w14:textId="183D266E" w:rsidR="00E0626C" w:rsidRPr="007E0340" w:rsidRDefault="004C22D4" w:rsidP="009A2BA0">
            <w:pPr>
              <w:jc w:val="center"/>
              <w:rPr>
                <w:noProof/>
                <w:szCs w:val="18"/>
              </w:rPr>
            </w:pPr>
            <w:r>
              <w:rPr>
                <w:noProof/>
              </w:rPr>
              <w:drawing>
                <wp:inline distT="0" distB="0" distL="0" distR="0" wp14:anchorId="7CF81722" wp14:editId="465DD76F">
                  <wp:extent cx="2998470" cy="1946054"/>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0DA22F8E"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932E68">
        <w:rPr>
          <w:rFonts w:ascii="华文楷体" w:hAnsi="华文楷体" w:hint="eastAsia"/>
          <w:bCs/>
          <w:sz w:val="24"/>
          <w:szCs w:val="24"/>
          <w:lang w:eastAsia="zh-CN"/>
        </w:rPr>
        <w:t>节前生产转弱，春运人口约为往年减半，电厂日耗降幅较大，开工率多是低于往年节前同期</w:t>
      </w:r>
      <w:r w:rsidR="004F189D">
        <w:rPr>
          <w:rFonts w:ascii="华文楷体" w:hAnsi="华文楷体" w:hint="eastAsia"/>
          <w:bCs/>
          <w:sz w:val="24"/>
          <w:szCs w:val="24"/>
          <w:lang w:eastAsia="zh-CN"/>
        </w:rPr>
        <w:t>。</w:t>
      </w:r>
      <w:r w:rsidR="00932E68" w:rsidRPr="00932E68">
        <w:rPr>
          <w:rFonts w:ascii="华文楷体" w:hAnsi="华文楷体" w:hint="eastAsia"/>
          <w:bCs/>
          <w:sz w:val="24"/>
          <w:szCs w:val="24"/>
          <w:lang w:eastAsia="zh-CN"/>
        </w:rPr>
        <w:t>企业停产放假数量增多，用电负荷降幅显著。截至2月1日</w:t>
      </w:r>
      <w:r w:rsidR="00932E68">
        <w:rPr>
          <w:rFonts w:ascii="华文楷体" w:hAnsi="华文楷体" w:hint="eastAsia"/>
          <w:bCs/>
          <w:sz w:val="24"/>
          <w:szCs w:val="24"/>
          <w:lang w:eastAsia="zh-CN"/>
        </w:rPr>
        <w:t>数据</w:t>
      </w:r>
      <w:r w:rsidR="00932E68" w:rsidRPr="00932E68">
        <w:rPr>
          <w:rFonts w:ascii="华文楷体" w:hAnsi="华文楷体" w:hint="eastAsia"/>
          <w:bCs/>
          <w:sz w:val="24"/>
          <w:szCs w:val="24"/>
          <w:lang w:eastAsia="zh-CN"/>
        </w:rPr>
        <w:t>，沿海八省电厂日耗合计180.5万吨，较1月中旬最高点下降26%，库存合计2246万吨，增加6.4%。浙电集团日耗11.3万吨，较1月中旬最高点下降43.5%，库存330万吨，增加26.9%。</w:t>
      </w:r>
    </w:p>
    <w:p w14:paraId="21425444" w14:textId="195A2379"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932E68" w:rsidRPr="00932E68">
        <w:rPr>
          <w:rFonts w:ascii="华文楷体" w:hAnsi="华文楷体" w:hint="eastAsia"/>
          <w:sz w:val="24"/>
          <w:szCs w:val="24"/>
          <w:lang w:eastAsia="zh-CN"/>
        </w:rPr>
        <w:t>地产低基数效应相对明显，</w:t>
      </w:r>
      <w:r w:rsidR="00932E68">
        <w:rPr>
          <w:rFonts w:ascii="华文楷体" w:hAnsi="华文楷体" w:hint="eastAsia"/>
          <w:sz w:val="24"/>
          <w:szCs w:val="24"/>
          <w:lang w:eastAsia="zh-CN"/>
        </w:rPr>
        <w:t>回顾1月全月3</w:t>
      </w:r>
      <w:r w:rsidR="00932E68">
        <w:rPr>
          <w:rFonts w:ascii="华文楷体" w:hAnsi="华文楷体"/>
          <w:sz w:val="24"/>
          <w:szCs w:val="24"/>
          <w:lang w:eastAsia="zh-CN"/>
        </w:rPr>
        <w:t>0</w:t>
      </w:r>
      <w:r w:rsidR="00932E68">
        <w:rPr>
          <w:rFonts w:ascii="华文楷体" w:hAnsi="华文楷体" w:hint="eastAsia"/>
          <w:sz w:val="24"/>
          <w:szCs w:val="24"/>
          <w:lang w:eastAsia="zh-CN"/>
        </w:rPr>
        <w:t>大中城市商品房日均销售面积5</w:t>
      </w:r>
      <w:r w:rsidR="00932E68">
        <w:rPr>
          <w:rFonts w:ascii="华文楷体" w:hAnsi="华文楷体"/>
          <w:sz w:val="24"/>
          <w:szCs w:val="24"/>
          <w:lang w:eastAsia="zh-CN"/>
        </w:rPr>
        <w:t>5.57</w:t>
      </w:r>
      <w:r w:rsidR="00932E68">
        <w:rPr>
          <w:rFonts w:ascii="华文楷体" w:hAnsi="华文楷体" w:hint="eastAsia"/>
          <w:sz w:val="24"/>
          <w:szCs w:val="24"/>
          <w:lang w:eastAsia="zh-CN"/>
        </w:rPr>
        <w:t>万平方米，环比下跌1</w:t>
      </w:r>
      <w:r w:rsidR="00932E68">
        <w:rPr>
          <w:rFonts w:ascii="华文楷体" w:hAnsi="华文楷体"/>
          <w:sz w:val="24"/>
          <w:szCs w:val="24"/>
          <w:lang w:eastAsia="zh-CN"/>
        </w:rPr>
        <w:t>5</w:t>
      </w:r>
      <w:r w:rsidR="00932E68">
        <w:rPr>
          <w:rFonts w:ascii="华文楷体" w:hAnsi="华文楷体" w:hint="eastAsia"/>
          <w:sz w:val="24"/>
          <w:szCs w:val="24"/>
          <w:lang w:eastAsia="zh-CN"/>
        </w:rPr>
        <w:t>%，同比上涨6</w:t>
      </w:r>
      <w:r w:rsidR="00932E68">
        <w:rPr>
          <w:rFonts w:ascii="华文楷体" w:hAnsi="华文楷体"/>
          <w:sz w:val="24"/>
          <w:szCs w:val="24"/>
          <w:lang w:eastAsia="zh-CN"/>
        </w:rPr>
        <w:t>7.1</w:t>
      </w:r>
      <w:r w:rsidR="00932E68">
        <w:rPr>
          <w:rFonts w:ascii="华文楷体" w:hAnsi="华文楷体" w:hint="eastAsia"/>
          <w:sz w:val="24"/>
          <w:szCs w:val="24"/>
          <w:lang w:eastAsia="zh-CN"/>
        </w:rPr>
        <w:t>%，一线、二线和三线城市销售</w:t>
      </w:r>
      <w:proofErr w:type="gramStart"/>
      <w:r w:rsidR="00932E68">
        <w:rPr>
          <w:rFonts w:ascii="华文楷体" w:hAnsi="华文楷体" w:hint="eastAsia"/>
          <w:sz w:val="24"/>
          <w:szCs w:val="24"/>
          <w:lang w:eastAsia="zh-CN"/>
        </w:rPr>
        <w:t>面积环</w:t>
      </w:r>
      <w:proofErr w:type="gramEnd"/>
      <w:r w:rsidR="00932E68">
        <w:rPr>
          <w:rFonts w:ascii="华文楷体" w:hAnsi="华文楷体" w:hint="eastAsia"/>
          <w:sz w:val="24"/>
          <w:szCs w:val="24"/>
          <w:lang w:eastAsia="zh-CN"/>
        </w:rPr>
        <w:t>比下跌9</w:t>
      </w:r>
      <w:r w:rsidR="00932E68">
        <w:rPr>
          <w:rFonts w:ascii="华文楷体" w:hAnsi="华文楷体"/>
          <w:sz w:val="24"/>
          <w:szCs w:val="24"/>
          <w:lang w:eastAsia="zh-CN"/>
        </w:rPr>
        <w:t>.2</w:t>
      </w:r>
      <w:r w:rsidR="00932E68">
        <w:rPr>
          <w:rFonts w:ascii="华文楷体" w:hAnsi="华文楷体" w:hint="eastAsia"/>
          <w:sz w:val="24"/>
          <w:szCs w:val="24"/>
          <w:lang w:eastAsia="zh-CN"/>
        </w:rPr>
        <w:t>%、2</w:t>
      </w:r>
      <w:r w:rsidR="00932E68">
        <w:rPr>
          <w:rFonts w:ascii="华文楷体" w:hAnsi="华文楷体"/>
          <w:sz w:val="24"/>
          <w:szCs w:val="24"/>
          <w:lang w:eastAsia="zh-CN"/>
        </w:rPr>
        <w:t>4.7</w:t>
      </w:r>
      <w:r w:rsidR="00932E68">
        <w:rPr>
          <w:rFonts w:ascii="华文楷体" w:hAnsi="华文楷体" w:hint="eastAsia"/>
          <w:sz w:val="24"/>
          <w:szCs w:val="24"/>
          <w:lang w:eastAsia="zh-CN"/>
        </w:rPr>
        <w:t>%和6</w:t>
      </w:r>
      <w:r w:rsidR="00932E68">
        <w:rPr>
          <w:rFonts w:ascii="华文楷体" w:hAnsi="华文楷体"/>
          <w:sz w:val="24"/>
          <w:szCs w:val="24"/>
          <w:lang w:eastAsia="zh-CN"/>
        </w:rPr>
        <w:t>.6</w:t>
      </w:r>
      <w:r w:rsidR="00932E68">
        <w:rPr>
          <w:rFonts w:ascii="华文楷体" w:hAnsi="华文楷体" w:hint="eastAsia"/>
          <w:sz w:val="24"/>
          <w:szCs w:val="24"/>
          <w:lang w:eastAsia="zh-CN"/>
        </w:rPr>
        <w:t>%</w:t>
      </w:r>
      <w:r w:rsidR="00932E68">
        <w:rPr>
          <w:rFonts w:ascii="华文楷体" w:hAnsi="华文楷体" w:hint="eastAsia"/>
          <w:bCs/>
          <w:sz w:val="24"/>
          <w:szCs w:val="24"/>
          <w:lang w:eastAsia="zh-CN"/>
        </w:rPr>
        <w:t>，同比上涨1</w:t>
      </w:r>
      <w:r w:rsidR="00932E68">
        <w:rPr>
          <w:rFonts w:ascii="华文楷体" w:hAnsi="华文楷体"/>
          <w:bCs/>
          <w:sz w:val="24"/>
          <w:szCs w:val="24"/>
          <w:lang w:eastAsia="zh-CN"/>
        </w:rPr>
        <w:t>18.5</w:t>
      </w:r>
      <w:r w:rsidR="00932E68">
        <w:rPr>
          <w:rFonts w:ascii="华文楷体" w:hAnsi="华文楷体" w:hint="eastAsia"/>
          <w:bCs/>
          <w:sz w:val="24"/>
          <w:szCs w:val="24"/>
          <w:lang w:eastAsia="zh-CN"/>
        </w:rPr>
        <w:t>%、4</w:t>
      </w:r>
      <w:r w:rsidR="00932E68">
        <w:rPr>
          <w:rFonts w:ascii="华文楷体" w:hAnsi="华文楷体"/>
          <w:bCs/>
          <w:sz w:val="24"/>
          <w:szCs w:val="24"/>
          <w:lang w:eastAsia="zh-CN"/>
        </w:rPr>
        <w:t>3.8</w:t>
      </w:r>
      <w:r w:rsidR="00932E68">
        <w:rPr>
          <w:rFonts w:ascii="华文楷体" w:hAnsi="华文楷体" w:hint="eastAsia"/>
          <w:bCs/>
          <w:sz w:val="24"/>
          <w:szCs w:val="24"/>
          <w:lang w:eastAsia="zh-CN"/>
        </w:rPr>
        <w:t>%和5</w:t>
      </w:r>
      <w:r w:rsidR="00932E68">
        <w:rPr>
          <w:rFonts w:ascii="华文楷体" w:hAnsi="华文楷体"/>
          <w:bCs/>
          <w:sz w:val="24"/>
          <w:szCs w:val="24"/>
          <w:lang w:eastAsia="zh-CN"/>
        </w:rPr>
        <w:t>8.1</w:t>
      </w:r>
      <w:r w:rsidR="00932E68">
        <w:rPr>
          <w:rFonts w:ascii="华文楷体" w:hAnsi="华文楷体" w:hint="eastAsia"/>
          <w:bCs/>
          <w:sz w:val="24"/>
          <w:szCs w:val="24"/>
          <w:lang w:eastAsia="zh-CN"/>
        </w:rPr>
        <w:t>%</w:t>
      </w:r>
    </w:p>
    <w:p w14:paraId="77CCCEDF" w14:textId="7F9F3649"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932E68">
        <w:rPr>
          <w:rFonts w:ascii="华文楷体" w:hAnsi="华文楷体" w:hint="eastAsia"/>
          <w:bCs/>
          <w:sz w:val="24"/>
          <w:szCs w:val="24"/>
          <w:lang w:eastAsia="zh-CN"/>
        </w:rPr>
        <w:t>1月全月C</w:t>
      </w:r>
      <w:r w:rsidR="00932E68">
        <w:rPr>
          <w:rFonts w:ascii="华文楷体" w:hAnsi="华文楷体"/>
          <w:bCs/>
          <w:sz w:val="24"/>
          <w:szCs w:val="24"/>
          <w:lang w:eastAsia="zh-CN"/>
        </w:rPr>
        <w:t>CFI</w:t>
      </w:r>
      <w:proofErr w:type="gramStart"/>
      <w:r w:rsidR="00932E68">
        <w:rPr>
          <w:rFonts w:ascii="华文楷体" w:hAnsi="华文楷体" w:hint="eastAsia"/>
          <w:bCs/>
          <w:sz w:val="24"/>
          <w:szCs w:val="24"/>
          <w:lang w:eastAsia="zh-CN"/>
        </w:rPr>
        <w:t>指数环</w:t>
      </w:r>
      <w:proofErr w:type="gramEnd"/>
      <w:r w:rsidR="00932E68">
        <w:rPr>
          <w:rFonts w:ascii="华文楷体" w:hAnsi="华文楷体" w:hint="eastAsia"/>
          <w:bCs/>
          <w:sz w:val="24"/>
          <w:szCs w:val="24"/>
          <w:lang w:eastAsia="zh-CN"/>
        </w:rPr>
        <w:t>比上涨2</w:t>
      </w:r>
      <w:r w:rsidR="00932E68">
        <w:rPr>
          <w:rFonts w:ascii="华文楷体" w:hAnsi="华文楷体"/>
          <w:bCs/>
          <w:sz w:val="24"/>
          <w:szCs w:val="24"/>
          <w:lang w:eastAsia="zh-CN"/>
        </w:rPr>
        <w:t>7.8</w:t>
      </w:r>
      <w:r w:rsidR="00932E68">
        <w:rPr>
          <w:rFonts w:ascii="华文楷体" w:hAnsi="华文楷体" w:hint="eastAsia"/>
          <w:bCs/>
          <w:sz w:val="24"/>
          <w:szCs w:val="24"/>
          <w:lang w:eastAsia="zh-CN"/>
        </w:rPr>
        <w:t>%，同比上涨1</w:t>
      </w:r>
      <w:r w:rsidR="00932E68">
        <w:rPr>
          <w:rFonts w:ascii="华文楷体" w:hAnsi="华文楷体"/>
          <w:bCs/>
          <w:sz w:val="24"/>
          <w:szCs w:val="24"/>
          <w:lang w:eastAsia="zh-CN"/>
        </w:rPr>
        <w:t>03.1</w:t>
      </w:r>
      <w:r w:rsidR="00932E68">
        <w:rPr>
          <w:rFonts w:ascii="华文楷体" w:hAnsi="华文楷体" w:hint="eastAsia"/>
          <w:bCs/>
          <w:sz w:val="24"/>
          <w:szCs w:val="24"/>
          <w:lang w:eastAsia="zh-CN"/>
        </w:rPr>
        <w:t>%；S</w:t>
      </w:r>
      <w:r w:rsidR="00932E68">
        <w:rPr>
          <w:rFonts w:ascii="华文楷体" w:hAnsi="华文楷体"/>
          <w:bCs/>
          <w:sz w:val="24"/>
          <w:szCs w:val="24"/>
          <w:lang w:eastAsia="zh-CN"/>
        </w:rPr>
        <w:t>CFI</w:t>
      </w:r>
      <w:proofErr w:type="gramStart"/>
      <w:r w:rsidR="00932E68">
        <w:rPr>
          <w:rFonts w:ascii="华文楷体" w:hAnsi="华文楷体" w:hint="eastAsia"/>
          <w:bCs/>
          <w:sz w:val="24"/>
          <w:szCs w:val="24"/>
          <w:lang w:eastAsia="zh-CN"/>
        </w:rPr>
        <w:t>指数环</w:t>
      </w:r>
      <w:proofErr w:type="gramEnd"/>
      <w:r w:rsidR="00932E68">
        <w:rPr>
          <w:rFonts w:ascii="华文楷体" w:hAnsi="华文楷体" w:hint="eastAsia"/>
          <w:bCs/>
          <w:sz w:val="24"/>
          <w:szCs w:val="24"/>
          <w:lang w:eastAsia="zh-CN"/>
        </w:rPr>
        <w:t>比上涨1</w:t>
      </w:r>
      <w:r w:rsidR="00932E68">
        <w:rPr>
          <w:rFonts w:ascii="华文楷体" w:hAnsi="华文楷体"/>
          <w:bCs/>
          <w:sz w:val="24"/>
          <w:szCs w:val="24"/>
          <w:lang w:eastAsia="zh-CN"/>
        </w:rPr>
        <w:t>6.9</w:t>
      </w:r>
      <w:r w:rsidR="00932E68">
        <w:rPr>
          <w:rFonts w:ascii="华文楷体" w:hAnsi="华文楷体" w:hint="eastAsia"/>
          <w:bCs/>
          <w:sz w:val="24"/>
          <w:szCs w:val="24"/>
          <w:lang w:eastAsia="zh-CN"/>
        </w:rPr>
        <w:t>%，同比上涨1</w:t>
      </w:r>
      <w:r w:rsidR="00932E68">
        <w:rPr>
          <w:rFonts w:ascii="华文楷体" w:hAnsi="华文楷体"/>
          <w:bCs/>
          <w:sz w:val="24"/>
          <w:szCs w:val="24"/>
          <w:lang w:eastAsia="zh-CN"/>
        </w:rPr>
        <w:t>87.4</w:t>
      </w:r>
      <w:r w:rsidR="00932E68">
        <w:rPr>
          <w:rFonts w:ascii="华文楷体" w:hAnsi="华文楷体" w:hint="eastAsia"/>
          <w:bCs/>
          <w:sz w:val="24"/>
          <w:szCs w:val="24"/>
          <w:lang w:eastAsia="zh-CN"/>
        </w:rPr>
        <w:t>%，出口方面表现仍较强。</w:t>
      </w:r>
    </w:p>
    <w:p w14:paraId="0542DAC4" w14:textId="2C1C3FEF"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B02A82">
        <w:rPr>
          <w:rFonts w:ascii="华文楷体" w:hAnsi="华文楷体" w:hint="eastAsia"/>
          <w:bCs/>
          <w:sz w:val="24"/>
          <w:szCs w:val="24"/>
          <w:lang w:eastAsia="zh-CN"/>
        </w:rPr>
        <w:t>节前农产品价格弱于往年，分品种看仅鸡肉价格小幅上涨，猪肉、牛肉、羊肉、鸡蛋、蔬菜和</w:t>
      </w:r>
      <w:proofErr w:type="gramStart"/>
      <w:r w:rsidR="00B02A82">
        <w:rPr>
          <w:rFonts w:ascii="华文楷体" w:hAnsi="华文楷体" w:hint="eastAsia"/>
          <w:bCs/>
          <w:sz w:val="24"/>
          <w:szCs w:val="24"/>
          <w:lang w:eastAsia="zh-CN"/>
        </w:rPr>
        <w:t>水果周度数据</w:t>
      </w:r>
      <w:proofErr w:type="gramEnd"/>
      <w:r w:rsidR="00B02A82">
        <w:rPr>
          <w:rFonts w:ascii="华文楷体" w:hAnsi="华文楷体" w:hint="eastAsia"/>
          <w:bCs/>
          <w:sz w:val="24"/>
          <w:szCs w:val="24"/>
          <w:lang w:eastAsia="zh-CN"/>
        </w:rPr>
        <w:t>都下跌为主，其中猪肉和鸡蛋</w:t>
      </w:r>
      <w:proofErr w:type="gramStart"/>
      <w:r w:rsidR="00B02A82">
        <w:rPr>
          <w:rFonts w:ascii="华文楷体" w:hAnsi="华文楷体" w:hint="eastAsia"/>
          <w:bCs/>
          <w:sz w:val="24"/>
          <w:szCs w:val="24"/>
          <w:lang w:eastAsia="zh-CN"/>
        </w:rPr>
        <w:t>价格周度</w:t>
      </w:r>
      <w:proofErr w:type="gramEnd"/>
      <w:r w:rsidR="00B02A82">
        <w:rPr>
          <w:rFonts w:ascii="华文楷体" w:hAnsi="华文楷体" w:hint="eastAsia"/>
          <w:bCs/>
          <w:sz w:val="24"/>
          <w:szCs w:val="24"/>
          <w:lang w:eastAsia="zh-CN"/>
        </w:rPr>
        <w:t>下降相对其他品种略明显</w:t>
      </w:r>
      <w:r w:rsidR="004F189D" w:rsidRPr="004F189D">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B02A82">
        <w:rPr>
          <w:rFonts w:ascii="华文楷体" w:hAnsi="华文楷体" w:hint="eastAsia"/>
          <w:bCs/>
          <w:sz w:val="24"/>
          <w:szCs w:val="24"/>
          <w:lang w:eastAsia="zh-CN"/>
        </w:rPr>
        <w:t>油价突破前高，对工业品价格边际拉动作用显现，</w:t>
      </w:r>
      <w:r w:rsidR="00B02A82">
        <w:rPr>
          <w:rFonts w:ascii="华文楷体" w:hAnsi="华文楷体"/>
          <w:bCs/>
          <w:sz w:val="24"/>
          <w:szCs w:val="24"/>
          <w:lang w:eastAsia="zh-CN"/>
        </w:rPr>
        <w:t>LME</w:t>
      </w:r>
      <w:r w:rsidR="00B02A82">
        <w:rPr>
          <w:rFonts w:ascii="华文楷体" w:hAnsi="华文楷体" w:hint="eastAsia"/>
          <w:bCs/>
          <w:sz w:val="24"/>
          <w:szCs w:val="24"/>
          <w:lang w:eastAsia="zh-CN"/>
        </w:rPr>
        <w:t>铜上涨2</w:t>
      </w:r>
      <w:r w:rsidR="00B02A82">
        <w:rPr>
          <w:rFonts w:ascii="华文楷体" w:hAnsi="华文楷体"/>
          <w:bCs/>
          <w:sz w:val="24"/>
          <w:szCs w:val="24"/>
          <w:lang w:eastAsia="zh-CN"/>
        </w:rPr>
        <w:t>.17</w:t>
      </w:r>
      <w:r w:rsidR="00B02A82">
        <w:rPr>
          <w:rFonts w:ascii="华文楷体" w:hAnsi="华文楷体" w:hint="eastAsia"/>
          <w:bCs/>
          <w:sz w:val="24"/>
          <w:szCs w:val="24"/>
          <w:lang w:eastAsia="zh-CN"/>
        </w:rPr>
        <w:t>%，L</w:t>
      </w:r>
      <w:r w:rsidR="00B02A82">
        <w:rPr>
          <w:rFonts w:ascii="华文楷体" w:hAnsi="华文楷体"/>
          <w:bCs/>
          <w:sz w:val="24"/>
          <w:szCs w:val="24"/>
          <w:lang w:eastAsia="zh-CN"/>
        </w:rPr>
        <w:t>ME</w:t>
      </w:r>
      <w:r w:rsidR="00B02A82">
        <w:rPr>
          <w:rFonts w:ascii="华文楷体" w:hAnsi="华文楷体" w:hint="eastAsia"/>
          <w:bCs/>
          <w:sz w:val="24"/>
          <w:szCs w:val="24"/>
          <w:lang w:eastAsia="zh-CN"/>
        </w:rPr>
        <w:t>铝上涨2</w:t>
      </w:r>
      <w:r w:rsidR="00B02A82">
        <w:rPr>
          <w:rFonts w:ascii="华文楷体" w:hAnsi="华文楷体"/>
          <w:bCs/>
          <w:sz w:val="24"/>
          <w:szCs w:val="24"/>
          <w:lang w:eastAsia="zh-CN"/>
        </w:rPr>
        <w:t>.12</w:t>
      </w:r>
      <w:r w:rsidR="00B02A82">
        <w:rPr>
          <w:rFonts w:ascii="华文楷体" w:hAnsi="华文楷体" w:hint="eastAsia"/>
          <w:bCs/>
          <w:sz w:val="24"/>
          <w:szCs w:val="24"/>
          <w:lang w:eastAsia="zh-CN"/>
        </w:rPr>
        <w:t>%，南华工业品价格指数上涨2</w:t>
      </w:r>
      <w:r w:rsidR="00B02A82">
        <w:rPr>
          <w:rFonts w:ascii="华文楷体" w:hAnsi="华文楷体"/>
          <w:bCs/>
          <w:sz w:val="24"/>
          <w:szCs w:val="24"/>
          <w:lang w:eastAsia="zh-CN"/>
        </w:rPr>
        <w:t>.51</w:t>
      </w:r>
      <w:r w:rsidR="00B02A82">
        <w:rPr>
          <w:rFonts w:ascii="华文楷体" w:hAnsi="华文楷体" w:hint="eastAsia"/>
          <w:bCs/>
          <w:sz w:val="24"/>
          <w:szCs w:val="24"/>
          <w:lang w:eastAsia="zh-CN"/>
        </w:rPr>
        <w:t>%</w:t>
      </w:r>
      <w:r w:rsidR="004F189D">
        <w:rPr>
          <w:rFonts w:ascii="华文楷体" w:hAnsi="华文楷体" w:hint="eastAsia"/>
          <w:bCs/>
          <w:sz w:val="24"/>
          <w:szCs w:val="24"/>
          <w:lang w:eastAsia="zh-CN"/>
        </w:rPr>
        <w:t>。</w:t>
      </w:r>
    </w:p>
    <w:p w14:paraId="29155A05" w14:textId="74D1A861"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4F189D" w:rsidRPr="004F189D">
        <w:rPr>
          <w:rFonts w:ascii="华文楷体" w:hAnsi="华文楷体" w:hint="eastAsia"/>
          <w:bCs/>
          <w:sz w:val="24"/>
          <w:szCs w:val="24"/>
          <w:lang w:eastAsia="zh-CN"/>
        </w:rPr>
        <w:t>乘联会最新数据显示，</w:t>
      </w:r>
      <w:r w:rsidR="00B02A82">
        <w:rPr>
          <w:rFonts w:ascii="华文楷体" w:hAnsi="华文楷体" w:hint="eastAsia"/>
          <w:bCs/>
          <w:sz w:val="24"/>
          <w:szCs w:val="24"/>
          <w:lang w:eastAsia="zh-CN"/>
        </w:rPr>
        <w:t>1月全月乘用车零售环比下降5%，同比增长2</w:t>
      </w:r>
      <w:r w:rsidR="00B02A82">
        <w:rPr>
          <w:rFonts w:ascii="华文楷体" w:hAnsi="华文楷体"/>
          <w:bCs/>
          <w:sz w:val="24"/>
          <w:szCs w:val="24"/>
          <w:lang w:eastAsia="zh-CN"/>
        </w:rPr>
        <w:t>5</w:t>
      </w:r>
      <w:r w:rsidR="00B02A82">
        <w:rPr>
          <w:rFonts w:ascii="华文楷体" w:hAnsi="华文楷体" w:hint="eastAsia"/>
          <w:bCs/>
          <w:sz w:val="24"/>
          <w:szCs w:val="24"/>
          <w:lang w:eastAsia="zh-CN"/>
        </w:rPr>
        <w:t>%，乘用车批发日均环比下降1</w:t>
      </w:r>
      <w:r w:rsidR="00B02A82">
        <w:rPr>
          <w:rFonts w:ascii="华文楷体" w:hAnsi="华文楷体"/>
          <w:bCs/>
          <w:sz w:val="24"/>
          <w:szCs w:val="24"/>
          <w:lang w:eastAsia="zh-CN"/>
        </w:rPr>
        <w:t>4</w:t>
      </w:r>
      <w:r w:rsidR="00B02A82">
        <w:rPr>
          <w:rFonts w:ascii="华文楷体" w:hAnsi="华文楷体" w:hint="eastAsia"/>
          <w:bCs/>
          <w:sz w:val="24"/>
          <w:szCs w:val="24"/>
          <w:lang w:eastAsia="zh-CN"/>
        </w:rPr>
        <w:t>%，同比增长2</w:t>
      </w:r>
      <w:r w:rsidR="00B02A82">
        <w:rPr>
          <w:rFonts w:ascii="华文楷体" w:hAnsi="华文楷体"/>
          <w:bCs/>
          <w:sz w:val="24"/>
          <w:szCs w:val="24"/>
          <w:lang w:eastAsia="zh-CN"/>
        </w:rPr>
        <w:t>1</w:t>
      </w:r>
      <w:r w:rsidR="00B02A82">
        <w:rPr>
          <w:rFonts w:ascii="华文楷体" w:hAnsi="华文楷体" w:hint="eastAsia"/>
          <w:bCs/>
          <w:sz w:val="24"/>
          <w:szCs w:val="24"/>
          <w:lang w:eastAsia="zh-CN"/>
        </w:rPr>
        <w:t>%，需求</w:t>
      </w:r>
      <w:proofErr w:type="gramStart"/>
      <w:r w:rsidR="00B02A82">
        <w:rPr>
          <w:rFonts w:ascii="华文楷体" w:hAnsi="华文楷体" w:hint="eastAsia"/>
          <w:bCs/>
          <w:sz w:val="24"/>
          <w:szCs w:val="24"/>
          <w:lang w:eastAsia="zh-CN"/>
        </w:rPr>
        <w:t>方面环</w:t>
      </w:r>
      <w:proofErr w:type="gramEnd"/>
      <w:r w:rsidR="00B02A82">
        <w:rPr>
          <w:rFonts w:ascii="华文楷体" w:hAnsi="华文楷体" w:hint="eastAsia"/>
          <w:bCs/>
          <w:sz w:val="24"/>
          <w:szCs w:val="24"/>
          <w:lang w:eastAsia="zh-CN"/>
        </w:rPr>
        <w:t>比表现略弱，但是同比表现较好，主要因为去年同期低基数影响，全月表现来看疫情反复下零售走势表现相对一般。</w:t>
      </w:r>
      <w:r w:rsidR="008C18FD">
        <w:rPr>
          <w:rFonts w:ascii="华文楷体" w:hAnsi="华文楷体"/>
          <w:bCs/>
          <w:sz w:val="24"/>
          <w:szCs w:val="24"/>
          <w:lang w:eastAsia="zh-CN"/>
        </w:rPr>
        <w:t xml:space="preserve"> </w:t>
      </w:r>
    </w:p>
    <w:p w14:paraId="6C0621FD" w14:textId="290CBA19"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B02A82">
        <w:rPr>
          <w:rFonts w:ascii="华文楷体" w:hAnsi="华文楷体"/>
          <w:bCs/>
          <w:sz w:val="24"/>
          <w:szCs w:val="24"/>
          <w:lang w:eastAsia="zh-CN"/>
        </w:rPr>
        <w:t>NYMEX</w:t>
      </w:r>
      <w:r w:rsidR="004F189D" w:rsidRPr="004F189D">
        <w:rPr>
          <w:rFonts w:ascii="华文楷体" w:hAnsi="华文楷体" w:hint="eastAsia"/>
          <w:bCs/>
          <w:sz w:val="24"/>
          <w:szCs w:val="24"/>
          <w:lang w:eastAsia="zh-CN"/>
        </w:rPr>
        <w:t>原油价格</w:t>
      </w:r>
      <w:r w:rsidR="00B02A82">
        <w:rPr>
          <w:rFonts w:ascii="华文楷体" w:hAnsi="华文楷体" w:hint="eastAsia"/>
          <w:bCs/>
          <w:sz w:val="24"/>
          <w:szCs w:val="24"/>
          <w:lang w:eastAsia="zh-CN"/>
        </w:rPr>
        <w:t>上涨9</w:t>
      </w:r>
      <w:r w:rsidR="00B02A82">
        <w:rPr>
          <w:rFonts w:ascii="华文楷体" w:hAnsi="华文楷体"/>
          <w:bCs/>
          <w:sz w:val="24"/>
          <w:szCs w:val="24"/>
          <w:lang w:eastAsia="zh-CN"/>
        </w:rPr>
        <w:t>.46</w:t>
      </w:r>
      <w:r w:rsidR="004F189D" w:rsidRPr="004F189D">
        <w:rPr>
          <w:rFonts w:ascii="华文楷体" w:hAnsi="华文楷体" w:hint="eastAsia"/>
          <w:bCs/>
          <w:sz w:val="24"/>
          <w:szCs w:val="24"/>
          <w:lang w:eastAsia="zh-CN"/>
        </w:rPr>
        <w:t>%；布伦</w:t>
      </w:r>
      <w:proofErr w:type="gramStart"/>
      <w:r w:rsidR="004F189D" w:rsidRPr="004F189D">
        <w:rPr>
          <w:rFonts w:ascii="华文楷体" w:hAnsi="华文楷体" w:hint="eastAsia"/>
          <w:bCs/>
          <w:sz w:val="24"/>
          <w:szCs w:val="24"/>
          <w:lang w:eastAsia="zh-CN"/>
        </w:rPr>
        <w:t>特</w:t>
      </w:r>
      <w:proofErr w:type="gramEnd"/>
      <w:r w:rsidR="004F189D" w:rsidRPr="004F189D">
        <w:rPr>
          <w:rFonts w:ascii="华文楷体" w:hAnsi="华文楷体" w:hint="eastAsia"/>
          <w:bCs/>
          <w:sz w:val="24"/>
          <w:szCs w:val="24"/>
          <w:lang w:eastAsia="zh-CN"/>
        </w:rPr>
        <w:t>原油价格回升</w:t>
      </w:r>
      <w:r w:rsidR="00B02A82">
        <w:rPr>
          <w:rFonts w:ascii="华文楷体" w:hAnsi="华文楷体"/>
          <w:bCs/>
          <w:sz w:val="24"/>
          <w:szCs w:val="24"/>
          <w:lang w:eastAsia="zh-CN"/>
        </w:rPr>
        <w:t>6</w:t>
      </w:r>
      <w:r w:rsidR="00B02A82">
        <w:rPr>
          <w:rFonts w:ascii="华文楷体" w:hAnsi="华文楷体" w:hint="eastAsia"/>
          <w:bCs/>
          <w:sz w:val="24"/>
          <w:szCs w:val="24"/>
          <w:lang w:eastAsia="zh-CN"/>
        </w:rPr>
        <w:t>.</w:t>
      </w:r>
      <w:r w:rsidR="00B02A82">
        <w:rPr>
          <w:rFonts w:ascii="华文楷体" w:hAnsi="华文楷体"/>
          <w:bCs/>
          <w:sz w:val="24"/>
          <w:szCs w:val="24"/>
          <w:lang w:eastAsia="zh-CN"/>
        </w:rPr>
        <w:t>67</w:t>
      </w:r>
      <w:r w:rsidR="004F189D" w:rsidRPr="004F189D">
        <w:rPr>
          <w:rFonts w:ascii="华文楷体" w:hAnsi="华文楷体" w:hint="eastAsia"/>
          <w:bCs/>
          <w:sz w:val="24"/>
          <w:szCs w:val="24"/>
          <w:lang w:eastAsia="zh-CN"/>
        </w:rPr>
        <w:t>%。</w:t>
      </w:r>
    </w:p>
    <w:p w14:paraId="35D3E229" w14:textId="52D6FC4D"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791236" w:rsidRPr="00791236">
        <w:rPr>
          <w:rFonts w:ascii="华文楷体" w:hAnsi="华文楷体" w:hint="eastAsia"/>
          <w:bCs/>
          <w:sz w:val="24"/>
          <w:szCs w:val="24"/>
          <w:lang w:eastAsia="zh-CN"/>
        </w:rPr>
        <w:t>中国1月通胀数据、1月金融数据、央行2月MLF操作情况。</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0C890E83"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D7789A">
        <w:rPr>
          <w:rFonts w:hint="eastAsia"/>
          <w:sz w:val="28"/>
          <w:szCs w:val="21"/>
          <w:lang w:eastAsia="zh-CN"/>
        </w:rPr>
        <w:t>本</w:t>
      </w:r>
      <w:bookmarkStart w:id="2" w:name="_GoBack"/>
      <w:bookmarkEnd w:id="2"/>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0820D192"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791236" w:rsidRPr="00791236">
        <w:rPr>
          <w:rFonts w:ascii="华文楷体" w:hAnsi="华文楷体" w:hint="eastAsia"/>
          <w:sz w:val="24"/>
          <w:szCs w:val="24"/>
          <w:lang w:eastAsia="zh-CN"/>
        </w:rPr>
        <w:t>本周为春节前最后一个交易周，考虑到节假日影响成交可能相对略清淡。1月末央行的流动性操作使得市场对后续货币政策的预期快速调整，流动性资金利率将适度上行，本</w:t>
      </w:r>
      <w:r w:rsidR="00791236" w:rsidRPr="00791236">
        <w:rPr>
          <w:rFonts w:ascii="华文楷体" w:hAnsi="华文楷体" w:hint="eastAsia"/>
          <w:sz w:val="24"/>
          <w:szCs w:val="24"/>
          <w:lang w:eastAsia="zh-CN"/>
        </w:rPr>
        <w:lastRenderedPageBreak/>
        <w:t>周关注本周央行MLF操作情况。宏观数据上，上游行业油价有所上行，煤价有所下行，有色金属涨跌互现。中游行业水泥价格下行，下游行业地产成交面积有所增加，土地溢价率有所回落，车市需求表现环比上升，同比也有所增长。疫情影响下的就地过节政策，对部分消费场景及旅游交通造成一定影响，但预计随着季节转暖及疫苗普及，后续疫情影响将边际减弱。债市方面，短</w:t>
      </w:r>
      <w:proofErr w:type="gramStart"/>
      <w:r w:rsidR="00791236" w:rsidRPr="00791236">
        <w:rPr>
          <w:rFonts w:ascii="华文楷体" w:hAnsi="华文楷体" w:hint="eastAsia"/>
          <w:sz w:val="24"/>
          <w:szCs w:val="24"/>
          <w:lang w:eastAsia="zh-CN"/>
        </w:rPr>
        <w:t>端品种</w:t>
      </w:r>
      <w:proofErr w:type="gramEnd"/>
      <w:r w:rsidR="00791236" w:rsidRPr="00791236">
        <w:rPr>
          <w:rFonts w:ascii="华文楷体" w:hAnsi="华文楷体" w:hint="eastAsia"/>
          <w:sz w:val="24"/>
          <w:szCs w:val="24"/>
          <w:lang w:eastAsia="zh-CN"/>
        </w:rPr>
        <w:t>修复较快，市场预期</w:t>
      </w:r>
      <w:proofErr w:type="gramStart"/>
      <w:r w:rsidR="00791236" w:rsidRPr="00791236">
        <w:rPr>
          <w:rFonts w:ascii="华文楷体" w:hAnsi="华文楷体" w:hint="eastAsia"/>
          <w:sz w:val="24"/>
          <w:szCs w:val="24"/>
          <w:lang w:eastAsia="zh-CN"/>
        </w:rPr>
        <w:t>重调整下利率</w:t>
      </w:r>
      <w:proofErr w:type="gramEnd"/>
      <w:r w:rsidR="00791236" w:rsidRPr="00791236">
        <w:rPr>
          <w:rFonts w:ascii="华文楷体" w:hAnsi="华文楷体" w:hint="eastAsia"/>
          <w:sz w:val="24"/>
          <w:szCs w:val="24"/>
          <w:lang w:eastAsia="zh-CN"/>
        </w:rPr>
        <w:t>面临重定价，短期看期限利差大</w:t>
      </w:r>
      <w:proofErr w:type="gramStart"/>
      <w:r w:rsidR="00791236" w:rsidRPr="00791236">
        <w:rPr>
          <w:rFonts w:ascii="华文楷体" w:hAnsi="华文楷体" w:hint="eastAsia"/>
          <w:sz w:val="24"/>
          <w:szCs w:val="24"/>
          <w:lang w:eastAsia="zh-CN"/>
        </w:rPr>
        <w:t>概率走阔修复</w:t>
      </w:r>
      <w:proofErr w:type="gramEnd"/>
      <w:r w:rsidR="00791236" w:rsidRPr="00791236">
        <w:rPr>
          <w:rFonts w:ascii="华文楷体" w:hAnsi="华文楷体" w:hint="eastAsia"/>
          <w:sz w:val="24"/>
          <w:szCs w:val="24"/>
          <w:lang w:eastAsia="zh-CN"/>
        </w:rPr>
        <w:t>，1Y利率受存单影响小幅上行，中长</w:t>
      </w:r>
      <w:proofErr w:type="gramStart"/>
      <w:r w:rsidR="00791236" w:rsidRPr="00791236">
        <w:rPr>
          <w:rFonts w:ascii="华文楷体" w:hAnsi="华文楷体" w:hint="eastAsia"/>
          <w:sz w:val="24"/>
          <w:szCs w:val="24"/>
          <w:lang w:eastAsia="zh-CN"/>
        </w:rPr>
        <w:t>端利率</w:t>
      </w:r>
      <w:proofErr w:type="gramEnd"/>
      <w:r w:rsidR="00791236" w:rsidRPr="00791236">
        <w:rPr>
          <w:rFonts w:ascii="华文楷体" w:hAnsi="华文楷体" w:hint="eastAsia"/>
          <w:sz w:val="24"/>
          <w:szCs w:val="24"/>
          <w:lang w:eastAsia="zh-CN"/>
        </w:rPr>
        <w:t>小幅抬升震荡。</w:t>
      </w:r>
    </w:p>
    <w:p w14:paraId="2C3F4BD1" w14:textId="133DE80E"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4F189D" w:rsidRPr="004F189D">
        <w:rPr>
          <w:rFonts w:ascii="华文楷体" w:hAnsi="华文楷体" w:hint="eastAsia"/>
          <w:sz w:val="24"/>
          <w:szCs w:val="24"/>
          <w:lang w:eastAsia="zh-CN"/>
        </w:rPr>
        <w:t>坚持票息策略出发，</w:t>
      </w:r>
      <w:r w:rsidR="00791236" w:rsidRPr="00791236">
        <w:rPr>
          <w:rFonts w:ascii="华文楷体" w:hAnsi="华文楷体" w:hint="eastAsia"/>
          <w:sz w:val="24"/>
          <w:szCs w:val="24"/>
          <w:lang w:eastAsia="zh-CN"/>
        </w:rPr>
        <w:t>市场偏好持续萎缩，5年和7年AA+评级</w:t>
      </w:r>
      <w:proofErr w:type="gramStart"/>
      <w:r w:rsidR="00791236" w:rsidRPr="00791236">
        <w:rPr>
          <w:rFonts w:ascii="华文楷体" w:hAnsi="华文楷体" w:hint="eastAsia"/>
          <w:sz w:val="24"/>
          <w:szCs w:val="24"/>
          <w:lang w:eastAsia="zh-CN"/>
        </w:rPr>
        <w:t>城投债品种</w:t>
      </w:r>
      <w:proofErr w:type="gramEnd"/>
      <w:r w:rsidR="00791236" w:rsidRPr="00791236">
        <w:rPr>
          <w:rFonts w:ascii="华文楷体" w:hAnsi="华文楷体" w:hint="eastAsia"/>
          <w:sz w:val="24"/>
          <w:szCs w:val="24"/>
          <w:lang w:eastAsia="zh-CN"/>
        </w:rPr>
        <w:t>近两周持续上行为主，城投</w:t>
      </w:r>
      <w:proofErr w:type="gramStart"/>
      <w:r w:rsidR="00791236" w:rsidRPr="00791236">
        <w:rPr>
          <w:rFonts w:ascii="华文楷体" w:hAnsi="华文楷体" w:hint="eastAsia"/>
          <w:sz w:val="24"/>
          <w:szCs w:val="24"/>
          <w:lang w:eastAsia="zh-CN"/>
        </w:rPr>
        <w:t>短融发行</w:t>
      </w:r>
      <w:proofErr w:type="gramEnd"/>
      <w:r w:rsidR="00791236" w:rsidRPr="00791236">
        <w:rPr>
          <w:rFonts w:ascii="华文楷体" w:hAnsi="华文楷体" w:hint="eastAsia"/>
          <w:sz w:val="24"/>
          <w:szCs w:val="24"/>
          <w:lang w:eastAsia="zh-CN"/>
        </w:rPr>
        <w:t>有所增加，市场对后续信用风险进一步暴露持较谨慎态度</w:t>
      </w:r>
      <w:r w:rsidR="004F189D" w:rsidRPr="004F189D">
        <w:rPr>
          <w:rFonts w:ascii="华文楷体" w:hAnsi="华文楷体" w:hint="eastAsia"/>
          <w:sz w:val="24"/>
          <w:szCs w:val="24"/>
          <w:lang w:eastAsia="zh-CN"/>
        </w:rPr>
        <w:t>。</w:t>
      </w:r>
    </w:p>
    <w:p w14:paraId="4C893BAE" w14:textId="5A748A55"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791236" w:rsidRPr="00791236">
        <w:rPr>
          <w:rFonts w:ascii="华文楷体" w:hAnsi="华文楷体" w:hint="eastAsia"/>
          <w:sz w:val="24"/>
          <w:szCs w:val="24"/>
          <w:lang w:eastAsia="zh-CN"/>
        </w:rPr>
        <w:t>流动性</w:t>
      </w:r>
      <w:proofErr w:type="gramStart"/>
      <w:r w:rsidR="00791236" w:rsidRPr="00791236">
        <w:rPr>
          <w:rFonts w:ascii="华文楷体" w:hAnsi="华文楷体" w:hint="eastAsia"/>
          <w:sz w:val="24"/>
          <w:szCs w:val="24"/>
          <w:lang w:eastAsia="zh-CN"/>
        </w:rPr>
        <w:t>适度回归</w:t>
      </w:r>
      <w:proofErr w:type="gramEnd"/>
      <w:r w:rsidR="00791236" w:rsidRPr="00791236">
        <w:rPr>
          <w:rFonts w:ascii="华文楷体" w:hAnsi="华文楷体" w:hint="eastAsia"/>
          <w:sz w:val="24"/>
          <w:szCs w:val="24"/>
          <w:lang w:eastAsia="zh-CN"/>
        </w:rPr>
        <w:t>中枢，权益市场情绪小幅修复，主要板块震荡小幅上行为主。转债品种受非银赎回影响，同时叠加前期估值略高，且市场调整后股市预期转弱，上周抛盘较重表现相对较弱，部分</w:t>
      </w:r>
      <w:proofErr w:type="gramStart"/>
      <w:r w:rsidR="00791236" w:rsidRPr="00791236">
        <w:rPr>
          <w:rFonts w:ascii="华文楷体" w:hAnsi="华文楷体" w:hint="eastAsia"/>
          <w:sz w:val="24"/>
          <w:szCs w:val="24"/>
          <w:lang w:eastAsia="zh-CN"/>
        </w:rPr>
        <w:t>个券</w:t>
      </w:r>
      <w:proofErr w:type="gramEnd"/>
      <w:r w:rsidR="00791236" w:rsidRPr="00791236">
        <w:rPr>
          <w:rFonts w:ascii="华文楷体" w:hAnsi="华文楷体" w:hint="eastAsia"/>
          <w:sz w:val="24"/>
          <w:szCs w:val="24"/>
          <w:lang w:eastAsia="zh-CN"/>
        </w:rPr>
        <w:t>可能存在超跌机会，后续关注业绩良好、资质好的中低平价</w:t>
      </w:r>
      <w:proofErr w:type="gramStart"/>
      <w:r w:rsidR="00791236" w:rsidRPr="00791236">
        <w:rPr>
          <w:rFonts w:ascii="华文楷体" w:hAnsi="华文楷体" w:hint="eastAsia"/>
          <w:sz w:val="24"/>
          <w:szCs w:val="24"/>
          <w:lang w:eastAsia="zh-CN"/>
        </w:rPr>
        <w:t>个券</w:t>
      </w:r>
      <w:proofErr w:type="gramEnd"/>
      <w:r w:rsidR="00791236" w:rsidRPr="00791236">
        <w:rPr>
          <w:rFonts w:ascii="华文楷体" w:hAnsi="华文楷体" w:hint="eastAsia"/>
          <w:sz w:val="24"/>
          <w:szCs w:val="24"/>
          <w:lang w:eastAsia="zh-CN"/>
        </w:rPr>
        <w:t>配置机会。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1D63AE00" w:rsidR="001D35B3" w:rsidRPr="006A5F34" w:rsidRDefault="001D35B3" w:rsidP="006E5744">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030E7C">
              <w:rPr>
                <w:rFonts w:hint="eastAsia"/>
              </w:rPr>
              <w:t>小幅下行</w:t>
            </w:r>
          </w:p>
        </w:tc>
        <w:tc>
          <w:tcPr>
            <w:tcW w:w="4938" w:type="dxa"/>
            <w:vAlign w:val="center"/>
          </w:tcPr>
          <w:p w14:paraId="02A10F26" w14:textId="079F202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r w:rsidR="009F0675">
              <w:rPr>
                <w:rFonts w:hint="eastAsia"/>
              </w:rPr>
              <w:t>小幅下行</w:t>
            </w:r>
          </w:p>
        </w:tc>
      </w:tr>
      <w:tr w:rsidR="001D35B3" w:rsidRPr="006A5F34" w14:paraId="205667F1" w14:textId="77777777" w:rsidTr="007700C7">
        <w:tblPrEx>
          <w:tblCellMar>
            <w:left w:w="108" w:type="dxa"/>
            <w:right w:w="108" w:type="dxa"/>
          </w:tblCellMar>
        </w:tblPrEx>
        <w:trPr>
          <w:jc w:val="center"/>
        </w:trPr>
        <w:tc>
          <w:tcPr>
            <w:tcW w:w="4939" w:type="dxa"/>
            <w:vAlign w:val="center"/>
          </w:tcPr>
          <w:p w14:paraId="56C782C2" w14:textId="301D24EF" w:rsidR="001D35B3" w:rsidRPr="007E0340" w:rsidRDefault="007700C7" w:rsidP="009A2BA0">
            <w:pPr>
              <w:jc w:val="center"/>
              <w:rPr>
                <w:noProof/>
              </w:rPr>
            </w:pPr>
            <w:r>
              <w:rPr>
                <w:noProof/>
              </w:rPr>
              <w:drawing>
                <wp:inline distT="0" distB="0" distL="0" distR="0" wp14:anchorId="691EBF8F" wp14:editId="2CA728D4">
                  <wp:extent cx="3093058" cy="1925320"/>
                  <wp:effectExtent l="0" t="0" r="0" b="0"/>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D7733F2" w:rsidR="001D35B3" w:rsidRPr="007E0340" w:rsidRDefault="007700C7" w:rsidP="009A2BA0">
            <w:pPr>
              <w:jc w:val="center"/>
              <w:rPr>
                <w:noProof/>
                <w:szCs w:val="18"/>
              </w:rPr>
            </w:pPr>
            <w:r>
              <w:rPr>
                <w:noProof/>
              </w:rPr>
              <w:drawing>
                <wp:inline distT="0" distB="0" distL="0" distR="0" wp14:anchorId="5110977D" wp14:editId="53D8B5BD">
                  <wp:extent cx="2998470" cy="1967672"/>
                  <wp:effectExtent l="0" t="0" r="0" b="0"/>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5CA0782"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BD5202">
              <w:rPr>
                <w:rFonts w:hint="eastAsia"/>
              </w:rPr>
              <w:t>低位震荡</w:t>
            </w:r>
          </w:p>
        </w:tc>
        <w:tc>
          <w:tcPr>
            <w:tcW w:w="4938" w:type="dxa"/>
            <w:vAlign w:val="center"/>
          </w:tcPr>
          <w:p w14:paraId="07575C0F" w14:textId="1734BF4A"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3300DB">
              <w:rPr>
                <w:rFonts w:hint="eastAsia"/>
              </w:rPr>
              <w:t>出现回落</w:t>
            </w:r>
          </w:p>
        </w:tc>
      </w:tr>
      <w:tr w:rsidR="001D35B3" w:rsidRPr="006A5F34" w14:paraId="49BBD33E" w14:textId="77777777" w:rsidTr="007700C7">
        <w:tblPrEx>
          <w:tblCellMar>
            <w:left w:w="108" w:type="dxa"/>
            <w:right w:w="108" w:type="dxa"/>
          </w:tblCellMar>
        </w:tblPrEx>
        <w:trPr>
          <w:trHeight w:val="2987"/>
          <w:jc w:val="center"/>
        </w:trPr>
        <w:tc>
          <w:tcPr>
            <w:tcW w:w="4939" w:type="dxa"/>
            <w:vAlign w:val="center"/>
          </w:tcPr>
          <w:p w14:paraId="0BAC1731" w14:textId="0B3D5B5A" w:rsidR="001D35B3" w:rsidRPr="007E0340" w:rsidRDefault="007700C7" w:rsidP="009A2BA0">
            <w:pPr>
              <w:jc w:val="center"/>
              <w:rPr>
                <w:noProof/>
              </w:rPr>
            </w:pPr>
            <w:r>
              <w:rPr>
                <w:noProof/>
              </w:rPr>
              <w:drawing>
                <wp:inline distT="0" distB="0" distL="0" distR="0" wp14:anchorId="4BE633B5" wp14:editId="48D14DBB">
                  <wp:extent cx="2999105" cy="1956766"/>
                  <wp:effectExtent l="0" t="0" r="10795" b="5715"/>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74A68F42" w:rsidR="001D35B3" w:rsidRPr="007E0340" w:rsidRDefault="007700C7" w:rsidP="009A2BA0">
            <w:pPr>
              <w:jc w:val="center"/>
              <w:rPr>
                <w:noProof/>
                <w:szCs w:val="18"/>
              </w:rPr>
            </w:pPr>
            <w:r>
              <w:rPr>
                <w:noProof/>
              </w:rPr>
              <w:drawing>
                <wp:inline distT="0" distB="0" distL="0" distR="0" wp14:anchorId="34D2D11C" wp14:editId="564C0EE9">
                  <wp:extent cx="2998470" cy="1928081"/>
                  <wp:effectExtent l="0" t="0" r="0" b="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330D309E" w:rsidR="0028459A" w:rsidRPr="001A1299" w:rsidRDefault="001C2272" w:rsidP="001C2272">
      <w:pPr>
        <w:pStyle w:val="Body-text"/>
        <w:ind w:firstLineChars="200" w:firstLine="400"/>
        <w:rPr>
          <w:rFonts w:ascii="华文楷体" w:hAnsi="华文楷体"/>
          <w:sz w:val="24"/>
          <w:szCs w:val="24"/>
          <w:lang w:eastAsia="zh-CN"/>
        </w:rPr>
      </w:pPr>
      <w:r w:rsidRPr="00E62BEE">
        <w:rPr>
          <w:rFonts w:hint="eastAsia"/>
        </w:rPr>
        <w:t>风险提示：</w:t>
      </w:r>
      <w:r w:rsidRPr="00E62BEE">
        <w:rPr>
          <w:rFonts w:hint="eastAsia"/>
        </w:rPr>
        <w:t>1</w:t>
      </w:r>
      <w:r w:rsidRPr="00E62BEE">
        <w:rPr>
          <w:rFonts w:hint="eastAsia"/>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E62BEE">
        <w:rPr>
          <w:rFonts w:hint="eastAsia"/>
        </w:rPr>
        <w:t>2</w:t>
      </w:r>
      <w:r w:rsidRPr="00E62BEE">
        <w:rPr>
          <w:rFonts w:hint="eastAsia"/>
        </w:rPr>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E7D422" w14:textId="77777777" w:rsidR="009F6CCE" w:rsidRDefault="009F6CCE">
      <w:r>
        <w:separator/>
      </w:r>
    </w:p>
  </w:endnote>
  <w:endnote w:type="continuationSeparator" w:id="0">
    <w:p w14:paraId="0D6825FF" w14:textId="77777777" w:rsidR="009F6CCE" w:rsidRDefault="009F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default"/>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0D6289" w:rsidRDefault="000D6289">
        <w:pPr>
          <w:pStyle w:val="a4"/>
          <w:jc w:val="right"/>
        </w:pPr>
        <w:r>
          <w:fldChar w:fldCharType="begin"/>
        </w:r>
        <w:r>
          <w:instrText>PAGE   \* MERGEFORMAT</w:instrText>
        </w:r>
        <w:r>
          <w:fldChar w:fldCharType="separate"/>
        </w:r>
        <w:r w:rsidR="00361C80" w:rsidRPr="00361C80">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7D4A8" w14:textId="77777777" w:rsidR="009F6CCE" w:rsidRDefault="009F6CCE">
      <w:r>
        <w:separator/>
      </w:r>
    </w:p>
  </w:footnote>
  <w:footnote w:type="continuationSeparator" w:id="0">
    <w:p w14:paraId="2101C3C9" w14:textId="77777777" w:rsidR="009F6CCE" w:rsidRDefault="009F6C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0D6289" w:rsidRDefault="000D6289"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272"/>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1C80"/>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6C21"/>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6CCE"/>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B81"/>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89A"/>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44078</c:v>
                </c:pt>
                <c:pt idx="1">
                  <c:v>44085</c:v>
                </c:pt>
                <c:pt idx="2">
                  <c:v>44092</c:v>
                </c:pt>
                <c:pt idx="3">
                  <c:v>44099</c:v>
                </c:pt>
                <c:pt idx="4">
                  <c:v>44106</c:v>
                </c:pt>
                <c:pt idx="5">
                  <c:v>44113</c:v>
                </c:pt>
                <c:pt idx="6">
                  <c:v>44120</c:v>
                </c:pt>
                <c:pt idx="7">
                  <c:v>44127</c:v>
                </c:pt>
                <c:pt idx="8">
                  <c:v>44134</c:v>
                </c:pt>
                <c:pt idx="9">
                  <c:v>44141</c:v>
                </c:pt>
                <c:pt idx="10">
                  <c:v>44148</c:v>
                </c:pt>
                <c:pt idx="11">
                  <c:v>44155</c:v>
                </c:pt>
                <c:pt idx="12">
                  <c:v>44162</c:v>
                </c:pt>
                <c:pt idx="13">
                  <c:v>44169</c:v>
                </c:pt>
                <c:pt idx="14">
                  <c:v>44176</c:v>
                </c:pt>
                <c:pt idx="15">
                  <c:v>44183</c:v>
                </c:pt>
                <c:pt idx="16">
                  <c:v>44190</c:v>
                </c:pt>
                <c:pt idx="17">
                  <c:v>44197</c:v>
                </c:pt>
                <c:pt idx="18">
                  <c:v>44204</c:v>
                </c:pt>
                <c:pt idx="19">
                  <c:v>44211</c:v>
                </c:pt>
                <c:pt idx="20">
                  <c:v>44218</c:v>
                </c:pt>
                <c:pt idx="21">
                  <c:v>44225</c:v>
                </c:pt>
                <c:pt idx="22">
                  <c:v>44232</c:v>
                </c:pt>
              </c:numCache>
            </c:numRef>
          </c:cat>
          <c:val>
            <c:numRef>
              <c:f>央行!$B$5:$B$27</c:f>
              <c:numCache>
                <c:formatCode>###,###,###,###,##0.00</c:formatCode>
                <c:ptCount val="23"/>
                <c:pt idx="0">
                  <c:v>2800</c:v>
                </c:pt>
                <c:pt idx="1">
                  <c:v>6200</c:v>
                </c:pt>
                <c:pt idx="2">
                  <c:v>4800</c:v>
                </c:pt>
                <c:pt idx="3">
                  <c:v>9000</c:v>
                </c:pt>
                <c:pt idx="4">
                  <c:v>2150</c:v>
                </c:pt>
                <c:pt idx="5">
                  <c:v>0</c:v>
                </c:pt>
                <c:pt idx="6">
                  <c:v>1000</c:v>
                </c:pt>
                <c:pt idx="7">
                  <c:v>3200</c:v>
                </c:pt>
                <c:pt idx="8">
                  <c:v>5150</c:v>
                </c:pt>
                <c:pt idx="9">
                  <c:v>3200</c:v>
                </c:pt>
                <c:pt idx="10">
                  <c:v>5500</c:v>
                </c:pt>
                <c:pt idx="11">
                  <c:v>3000</c:v>
                </c:pt>
                <c:pt idx="12">
                  <c:v>4350</c:v>
                </c:pt>
                <c:pt idx="13">
                  <c:v>2000</c:v>
                </c:pt>
                <c:pt idx="14">
                  <c:v>1500</c:v>
                </c:pt>
                <c:pt idx="15">
                  <c:v>600</c:v>
                </c:pt>
                <c:pt idx="16">
                  <c:v>4300</c:v>
                </c:pt>
                <c:pt idx="17">
                  <c:v>1750</c:v>
                </c:pt>
                <c:pt idx="18">
                  <c:v>550</c:v>
                </c:pt>
                <c:pt idx="19">
                  <c:v>160</c:v>
                </c:pt>
                <c:pt idx="20">
                  <c:v>6140</c:v>
                </c:pt>
                <c:pt idx="21">
                  <c:v>3890</c:v>
                </c:pt>
                <c:pt idx="22">
                  <c:v>4800</c:v>
                </c:pt>
              </c:numCache>
            </c:numRef>
          </c:val>
          <c:extLst xmlns:c16r2="http://schemas.microsoft.com/office/drawing/2015/06/chart">
            <c:ext xmlns:c16="http://schemas.microsoft.com/office/drawing/2014/chart" uri="{C3380CC4-5D6E-409C-BE32-E72D297353CC}">
              <c16:uniqueId val="{00000000-4F52-413D-9AE2-F382BEDC2433}"/>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44078</c:v>
                </c:pt>
                <c:pt idx="1">
                  <c:v>44085</c:v>
                </c:pt>
                <c:pt idx="2">
                  <c:v>44092</c:v>
                </c:pt>
                <c:pt idx="3">
                  <c:v>44099</c:v>
                </c:pt>
                <c:pt idx="4">
                  <c:v>44106</c:v>
                </c:pt>
                <c:pt idx="5">
                  <c:v>44113</c:v>
                </c:pt>
                <c:pt idx="6">
                  <c:v>44120</c:v>
                </c:pt>
                <c:pt idx="7">
                  <c:v>44127</c:v>
                </c:pt>
                <c:pt idx="8">
                  <c:v>44134</c:v>
                </c:pt>
                <c:pt idx="9">
                  <c:v>44141</c:v>
                </c:pt>
                <c:pt idx="10">
                  <c:v>44148</c:v>
                </c:pt>
                <c:pt idx="11">
                  <c:v>44155</c:v>
                </c:pt>
                <c:pt idx="12">
                  <c:v>44162</c:v>
                </c:pt>
                <c:pt idx="13">
                  <c:v>44169</c:v>
                </c:pt>
                <c:pt idx="14">
                  <c:v>44176</c:v>
                </c:pt>
                <c:pt idx="15">
                  <c:v>44183</c:v>
                </c:pt>
                <c:pt idx="16">
                  <c:v>44190</c:v>
                </c:pt>
                <c:pt idx="17">
                  <c:v>44197</c:v>
                </c:pt>
                <c:pt idx="18">
                  <c:v>44204</c:v>
                </c:pt>
                <c:pt idx="19">
                  <c:v>44211</c:v>
                </c:pt>
                <c:pt idx="20">
                  <c:v>44218</c:v>
                </c:pt>
                <c:pt idx="21">
                  <c:v>44225</c:v>
                </c:pt>
                <c:pt idx="22">
                  <c:v>44232</c:v>
                </c:pt>
              </c:numCache>
            </c:numRef>
          </c:cat>
          <c:val>
            <c:numRef>
              <c:f>央行!$C$5:$C$27</c:f>
              <c:numCache>
                <c:formatCode>###,###,###,###,##0.00</c:formatCode>
                <c:ptCount val="23"/>
                <c:pt idx="0">
                  <c:v>-7500</c:v>
                </c:pt>
                <c:pt idx="1">
                  <c:v>-3900</c:v>
                </c:pt>
                <c:pt idx="2">
                  <c:v>-6200</c:v>
                </c:pt>
                <c:pt idx="3">
                  <c:v>-4200</c:v>
                </c:pt>
                <c:pt idx="4">
                  <c:v>-4650</c:v>
                </c:pt>
                <c:pt idx="5">
                  <c:v>-5000</c:v>
                </c:pt>
                <c:pt idx="6">
                  <c:v>-2100</c:v>
                </c:pt>
                <c:pt idx="7">
                  <c:v>-1000</c:v>
                </c:pt>
                <c:pt idx="8">
                  <c:v>-3250</c:v>
                </c:pt>
                <c:pt idx="9">
                  <c:v>-5100</c:v>
                </c:pt>
                <c:pt idx="10">
                  <c:v>-3200</c:v>
                </c:pt>
                <c:pt idx="11">
                  <c:v>-5500</c:v>
                </c:pt>
                <c:pt idx="12">
                  <c:v>-3050</c:v>
                </c:pt>
                <c:pt idx="13">
                  <c:v>-4300</c:v>
                </c:pt>
                <c:pt idx="14">
                  <c:v>-2000</c:v>
                </c:pt>
                <c:pt idx="15">
                  <c:v>-1500</c:v>
                </c:pt>
                <c:pt idx="16">
                  <c:v>-650</c:v>
                </c:pt>
                <c:pt idx="17">
                  <c:v>-800</c:v>
                </c:pt>
                <c:pt idx="18">
                  <c:v>-5200</c:v>
                </c:pt>
                <c:pt idx="19">
                  <c:v>-550</c:v>
                </c:pt>
                <c:pt idx="20">
                  <c:v>-160</c:v>
                </c:pt>
                <c:pt idx="21">
                  <c:v>-6190</c:v>
                </c:pt>
                <c:pt idx="22">
                  <c:v>-3840</c:v>
                </c:pt>
              </c:numCache>
            </c:numRef>
          </c:val>
          <c:extLst xmlns:c16r2="http://schemas.microsoft.com/office/drawing/2015/06/chart">
            <c:ext xmlns:c16="http://schemas.microsoft.com/office/drawing/2014/chart" uri="{C3380CC4-5D6E-409C-BE32-E72D297353CC}">
              <c16:uniqueId val="{00000001-4F52-413D-9AE2-F382BEDC2433}"/>
            </c:ext>
          </c:extLst>
        </c:ser>
        <c:dLbls>
          <c:showLegendKey val="0"/>
          <c:showVal val="0"/>
          <c:showCatName val="0"/>
          <c:showSerName val="0"/>
          <c:showPercent val="0"/>
          <c:showBubbleSize val="0"/>
        </c:dLbls>
        <c:gapWidth val="150"/>
        <c:overlap val="100"/>
        <c:axId val="444609664"/>
        <c:axId val="44461158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44078</c:v>
                </c:pt>
                <c:pt idx="1">
                  <c:v>44085</c:v>
                </c:pt>
                <c:pt idx="2">
                  <c:v>44092</c:v>
                </c:pt>
                <c:pt idx="3">
                  <c:v>44099</c:v>
                </c:pt>
                <c:pt idx="4">
                  <c:v>44106</c:v>
                </c:pt>
                <c:pt idx="5">
                  <c:v>44113</c:v>
                </c:pt>
                <c:pt idx="6">
                  <c:v>44120</c:v>
                </c:pt>
                <c:pt idx="7">
                  <c:v>44127</c:v>
                </c:pt>
                <c:pt idx="8">
                  <c:v>44134</c:v>
                </c:pt>
                <c:pt idx="9">
                  <c:v>44141</c:v>
                </c:pt>
                <c:pt idx="10">
                  <c:v>44148</c:v>
                </c:pt>
                <c:pt idx="11">
                  <c:v>44155</c:v>
                </c:pt>
                <c:pt idx="12">
                  <c:v>44162</c:v>
                </c:pt>
                <c:pt idx="13">
                  <c:v>44169</c:v>
                </c:pt>
                <c:pt idx="14">
                  <c:v>44176</c:v>
                </c:pt>
                <c:pt idx="15">
                  <c:v>44183</c:v>
                </c:pt>
                <c:pt idx="16">
                  <c:v>44190</c:v>
                </c:pt>
                <c:pt idx="17">
                  <c:v>44197</c:v>
                </c:pt>
                <c:pt idx="18">
                  <c:v>44204</c:v>
                </c:pt>
                <c:pt idx="19">
                  <c:v>44211</c:v>
                </c:pt>
                <c:pt idx="20">
                  <c:v>44218</c:v>
                </c:pt>
                <c:pt idx="21">
                  <c:v>44225</c:v>
                </c:pt>
                <c:pt idx="22">
                  <c:v>44232</c:v>
                </c:pt>
              </c:numCache>
            </c:numRef>
          </c:cat>
          <c:val>
            <c:numRef>
              <c:f>央行!$D$5:$D$27</c:f>
              <c:numCache>
                <c:formatCode>###,###,###,###,##0.00</c:formatCode>
                <c:ptCount val="23"/>
                <c:pt idx="0">
                  <c:v>-4700</c:v>
                </c:pt>
                <c:pt idx="1">
                  <c:v>2300</c:v>
                </c:pt>
                <c:pt idx="2">
                  <c:v>-1400</c:v>
                </c:pt>
                <c:pt idx="3">
                  <c:v>4800</c:v>
                </c:pt>
                <c:pt idx="4">
                  <c:v>-2500</c:v>
                </c:pt>
                <c:pt idx="5">
                  <c:v>-5000</c:v>
                </c:pt>
                <c:pt idx="6">
                  <c:v>-1100</c:v>
                </c:pt>
                <c:pt idx="7">
                  <c:v>2200</c:v>
                </c:pt>
                <c:pt idx="8">
                  <c:v>1900</c:v>
                </c:pt>
                <c:pt idx="9">
                  <c:v>-1900</c:v>
                </c:pt>
                <c:pt idx="10">
                  <c:v>2300</c:v>
                </c:pt>
                <c:pt idx="11">
                  <c:v>-2500</c:v>
                </c:pt>
                <c:pt idx="12">
                  <c:v>1300</c:v>
                </c:pt>
                <c:pt idx="13">
                  <c:v>-2300</c:v>
                </c:pt>
                <c:pt idx="14">
                  <c:v>-500</c:v>
                </c:pt>
                <c:pt idx="15">
                  <c:v>-900</c:v>
                </c:pt>
                <c:pt idx="16">
                  <c:v>3650</c:v>
                </c:pt>
                <c:pt idx="17">
                  <c:v>950</c:v>
                </c:pt>
                <c:pt idx="18">
                  <c:v>-4650</c:v>
                </c:pt>
                <c:pt idx="19">
                  <c:v>-390</c:v>
                </c:pt>
                <c:pt idx="20">
                  <c:v>5980</c:v>
                </c:pt>
                <c:pt idx="21">
                  <c:v>-2300</c:v>
                </c:pt>
                <c:pt idx="22">
                  <c:v>960</c:v>
                </c:pt>
              </c:numCache>
            </c:numRef>
          </c:val>
          <c:smooth val="0"/>
          <c:extLst xmlns:c16r2="http://schemas.microsoft.com/office/drawing/2015/06/chart">
            <c:ext xmlns:c16="http://schemas.microsoft.com/office/drawing/2014/chart" uri="{C3380CC4-5D6E-409C-BE32-E72D297353CC}">
              <c16:uniqueId val="{00000002-4F52-413D-9AE2-F382BEDC2433}"/>
            </c:ext>
          </c:extLst>
        </c:ser>
        <c:dLbls>
          <c:showLegendKey val="0"/>
          <c:showVal val="0"/>
          <c:showCatName val="0"/>
          <c:showSerName val="0"/>
          <c:showPercent val="0"/>
          <c:showBubbleSize val="0"/>
        </c:dLbls>
        <c:marker val="1"/>
        <c:smooth val="0"/>
        <c:axId val="444609664"/>
        <c:axId val="444611584"/>
      </c:lineChart>
      <c:catAx>
        <c:axId val="4446096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611584"/>
        <c:crosses val="autoZero"/>
        <c:auto val="0"/>
        <c:lblAlgn val="ctr"/>
        <c:lblOffset val="0"/>
        <c:tickMarkSkip val="2"/>
        <c:noMultiLvlLbl val="0"/>
      </c:catAx>
      <c:valAx>
        <c:axId val="44461158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60966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44234</c:v>
                </c:pt>
                <c:pt idx="1">
                  <c:v>44232</c:v>
                </c:pt>
                <c:pt idx="2">
                  <c:v>44231</c:v>
                </c:pt>
                <c:pt idx="3">
                  <c:v>44230</c:v>
                </c:pt>
                <c:pt idx="4">
                  <c:v>44229</c:v>
                </c:pt>
                <c:pt idx="5">
                  <c:v>44228</c:v>
                </c:pt>
                <c:pt idx="6">
                  <c:v>44225</c:v>
                </c:pt>
                <c:pt idx="7">
                  <c:v>44224</c:v>
                </c:pt>
                <c:pt idx="8">
                  <c:v>44223</c:v>
                </c:pt>
                <c:pt idx="9">
                  <c:v>44222</c:v>
                </c:pt>
                <c:pt idx="10">
                  <c:v>44221</c:v>
                </c:pt>
                <c:pt idx="11">
                  <c:v>44218</c:v>
                </c:pt>
                <c:pt idx="12">
                  <c:v>44217</c:v>
                </c:pt>
                <c:pt idx="13">
                  <c:v>44216</c:v>
                </c:pt>
                <c:pt idx="14">
                  <c:v>44215</c:v>
                </c:pt>
                <c:pt idx="15">
                  <c:v>44214</c:v>
                </c:pt>
                <c:pt idx="16">
                  <c:v>44211</c:v>
                </c:pt>
                <c:pt idx="17">
                  <c:v>44210</c:v>
                </c:pt>
                <c:pt idx="18">
                  <c:v>44209</c:v>
                </c:pt>
                <c:pt idx="19">
                  <c:v>44208</c:v>
                </c:pt>
                <c:pt idx="20">
                  <c:v>44207</c:v>
                </c:pt>
                <c:pt idx="21">
                  <c:v>44204</c:v>
                </c:pt>
                <c:pt idx="22">
                  <c:v>44203</c:v>
                </c:pt>
                <c:pt idx="23">
                  <c:v>44202</c:v>
                </c:pt>
                <c:pt idx="24">
                  <c:v>44201</c:v>
                </c:pt>
                <c:pt idx="25">
                  <c:v>44200</c:v>
                </c:pt>
                <c:pt idx="26">
                  <c:v>44196</c:v>
                </c:pt>
                <c:pt idx="27">
                  <c:v>44195</c:v>
                </c:pt>
                <c:pt idx="28">
                  <c:v>44194</c:v>
                </c:pt>
                <c:pt idx="29">
                  <c:v>44193</c:v>
                </c:pt>
                <c:pt idx="30">
                  <c:v>44190</c:v>
                </c:pt>
                <c:pt idx="31">
                  <c:v>44189</c:v>
                </c:pt>
                <c:pt idx="32">
                  <c:v>44188</c:v>
                </c:pt>
                <c:pt idx="33">
                  <c:v>44187</c:v>
                </c:pt>
                <c:pt idx="34">
                  <c:v>44186</c:v>
                </c:pt>
                <c:pt idx="35">
                  <c:v>44183</c:v>
                </c:pt>
                <c:pt idx="36">
                  <c:v>44182</c:v>
                </c:pt>
                <c:pt idx="37">
                  <c:v>44181</c:v>
                </c:pt>
                <c:pt idx="38">
                  <c:v>44180</c:v>
                </c:pt>
                <c:pt idx="39">
                  <c:v>44179</c:v>
                </c:pt>
                <c:pt idx="40">
                  <c:v>44176</c:v>
                </c:pt>
                <c:pt idx="41">
                  <c:v>44175</c:v>
                </c:pt>
                <c:pt idx="42">
                  <c:v>44174</c:v>
                </c:pt>
                <c:pt idx="43">
                  <c:v>44173</c:v>
                </c:pt>
                <c:pt idx="44">
                  <c:v>44172</c:v>
                </c:pt>
                <c:pt idx="45">
                  <c:v>44169</c:v>
                </c:pt>
                <c:pt idx="46">
                  <c:v>44168</c:v>
                </c:pt>
                <c:pt idx="47">
                  <c:v>44167</c:v>
                </c:pt>
                <c:pt idx="48">
                  <c:v>44166</c:v>
                </c:pt>
                <c:pt idx="49">
                  <c:v>44165</c:v>
                </c:pt>
                <c:pt idx="50">
                  <c:v>44162</c:v>
                </c:pt>
                <c:pt idx="51">
                  <c:v>44161</c:v>
                </c:pt>
                <c:pt idx="52">
                  <c:v>44160</c:v>
                </c:pt>
                <c:pt idx="53">
                  <c:v>44159</c:v>
                </c:pt>
                <c:pt idx="54">
                  <c:v>44158</c:v>
                </c:pt>
                <c:pt idx="55">
                  <c:v>44155</c:v>
                </c:pt>
                <c:pt idx="56">
                  <c:v>44154</c:v>
                </c:pt>
                <c:pt idx="57">
                  <c:v>44153</c:v>
                </c:pt>
                <c:pt idx="58">
                  <c:v>44152</c:v>
                </c:pt>
              </c:numCache>
            </c:numRef>
          </c:cat>
          <c:val>
            <c:numRef>
              <c:f>资金!$B$3:$B$61</c:f>
              <c:numCache>
                <c:formatCode>###,###,###,###,##0.0000</c:formatCode>
                <c:ptCount val="59"/>
                <c:pt idx="0">
                  <c:v>1.5358000000000001</c:v>
                </c:pt>
                <c:pt idx="1">
                  <c:v>1.8911</c:v>
                </c:pt>
                <c:pt idx="2">
                  <c:v>2.1088</c:v>
                </c:pt>
                <c:pt idx="3">
                  <c:v>1.9271</c:v>
                </c:pt>
                <c:pt idx="4">
                  <c:v>2.2991999999999999</c:v>
                </c:pt>
                <c:pt idx="5">
                  <c:v>3.0550999999999999</c:v>
                </c:pt>
                <c:pt idx="6">
                  <c:v>6.5883000000000003</c:v>
                </c:pt>
                <c:pt idx="7">
                  <c:v>4.2148000000000003</c:v>
                </c:pt>
                <c:pt idx="8">
                  <c:v>3.5893999999999999</c:v>
                </c:pt>
                <c:pt idx="9">
                  <c:v>3.1797</c:v>
                </c:pt>
                <c:pt idx="10">
                  <c:v>2.6110000000000002</c:v>
                </c:pt>
                <c:pt idx="11">
                  <c:v>2.5579000000000001</c:v>
                </c:pt>
                <c:pt idx="12">
                  <c:v>2.7303000000000002</c:v>
                </c:pt>
                <c:pt idx="13">
                  <c:v>2.6476999999999999</c:v>
                </c:pt>
                <c:pt idx="14">
                  <c:v>2.4173</c:v>
                </c:pt>
                <c:pt idx="15">
                  <c:v>2.2145999999999999</c:v>
                </c:pt>
                <c:pt idx="16">
                  <c:v>1.81</c:v>
                </c:pt>
                <c:pt idx="17">
                  <c:v>1.7403999999999999</c:v>
                </c:pt>
                <c:pt idx="18">
                  <c:v>1.466</c:v>
                </c:pt>
                <c:pt idx="19">
                  <c:v>1.4098999999999999</c:v>
                </c:pt>
                <c:pt idx="20">
                  <c:v>1.2854000000000001</c:v>
                </c:pt>
                <c:pt idx="21">
                  <c:v>1.0166999999999999</c:v>
                </c:pt>
                <c:pt idx="22">
                  <c:v>0.99309999999999998</c:v>
                </c:pt>
                <c:pt idx="23">
                  <c:v>0.69089999999999996</c:v>
                </c:pt>
                <c:pt idx="24">
                  <c:v>0.80669999999999997</c:v>
                </c:pt>
                <c:pt idx="25">
                  <c:v>0.96089999999999998</c:v>
                </c:pt>
                <c:pt idx="26">
                  <c:v>1.4548000000000001</c:v>
                </c:pt>
                <c:pt idx="27">
                  <c:v>0.7712</c:v>
                </c:pt>
                <c:pt idx="28">
                  <c:v>0.71660000000000001</c:v>
                </c:pt>
                <c:pt idx="29">
                  <c:v>0.74880000000000002</c:v>
                </c:pt>
                <c:pt idx="30">
                  <c:v>0.86060000000000003</c:v>
                </c:pt>
                <c:pt idx="31">
                  <c:v>0.69410000000000005</c:v>
                </c:pt>
                <c:pt idx="32">
                  <c:v>0.68979999999999997</c:v>
                </c:pt>
                <c:pt idx="33">
                  <c:v>1.0650999999999999</c:v>
                </c:pt>
                <c:pt idx="34">
                  <c:v>1.5268999999999999</c:v>
                </c:pt>
                <c:pt idx="35">
                  <c:v>1.7833000000000001</c:v>
                </c:pt>
                <c:pt idx="36">
                  <c:v>1.4323999999999999</c:v>
                </c:pt>
                <c:pt idx="37">
                  <c:v>1.0374000000000001</c:v>
                </c:pt>
                <c:pt idx="38">
                  <c:v>1.4353</c:v>
                </c:pt>
                <c:pt idx="39">
                  <c:v>1.7574000000000001</c:v>
                </c:pt>
                <c:pt idx="40">
                  <c:v>1.5121</c:v>
                </c:pt>
                <c:pt idx="41">
                  <c:v>1.0599000000000001</c:v>
                </c:pt>
                <c:pt idx="42">
                  <c:v>1.1145</c:v>
                </c:pt>
                <c:pt idx="43">
                  <c:v>1.3402000000000001</c:v>
                </c:pt>
                <c:pt idx="44">
                  <c:v>1.4177</c:v>
                </c:pt>
                <c:pt idx="45">
                  <c:v>1.147</c:v>
                </c:pt>
                <c:pt idx="46">
                  <c:v>0.97250000000000003</c:v>
                </c:pt>
                <c:pt idx="47">
                  <c:v>0.81740000000000002</c:v>
                </c:pt>
                <c:pt idx="48">
                  <c:v>0.84609999999999996</c:v>
                </c:pt>
                <c:pt idx="49">
                  <c:v>1.2567999999999999</c:v>
                </c:pt>
                <c:pt idx="50">
                  <c:v>0.89139999999999997</c:v>
                </c:pt>
                <c:pt idx="51">
                  <c:v>1.3314999999999999</c:v>
                </c:pt>
                <c:pt idx="52">
                  <c:v>1.6241000000000001</c:v>
                </c:pt>
                <c:pt idx="53">
                  <c:v>1.8728</c:v>
                </c:pt>
                <c:pt idx="54">
                  <c:v>1.895</c:v>
                </c:pt>
                <c:pt idx="55">
                  <c:v>1.982</c:v>
                </c:pt>
                <c:pt idx="56">
                  <c:v>1.9603999999999999</c:v>
                </c:pt>
                <c:pt idx="57">
                  <c:v>1.7726</c:v>
                </c:pt>
                <c:pt idx="58">
                  <c:v>1.8414999999999999</c:v>
                </c:pt>
              </c:numCache>
            </c:numRef>
          </c:val>
          <c:smooth val="1"/>
          <c:extLst xmlns:c16r2="http://schemas.microsoft.com/office/drawing/2015/06/chart">
            <c:ext xmlns:c16="http://schemas.microsoft.com/office/drawing/2014/chart" uri="{C3380CC4-5D6E-409C-BE32-E72D297353CC}">
              <c16:uniqueId val="{00000000-9F41-4D94-B5EB-BC50A8A11ACD}"/>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44234</c:v>
                </c:pt>
                <c:pt idx="1">
                  <c:v>44232</c:v>
                </c:pt>
                <c:pt idx="2">
                  <c:v>44231</c:v>
                </c:pt>
                <c:pt idx="3">
                  <c:v>44230</c:v>
                </c:pt>
                <c:pt idx="4">
                  <c:v>44229</c:v>
                </c:pt>
                <c:pt idx="5">
                  <c:v>44228</c:v>
                </c:pt>
                <c:pt idx="6">
                  <c:v>44225</c:v>
                </c:pt>
                <c:pt idx="7">
                  <c:v>44224</c:v>
                </c:pt>
                <c:pt idx="8">
                  <c:v>44223</c:v>
                </c:pt>
                <c:pt idx="9">
                  <c:v>44222</c:v>
                </c:pt>
                <c:pt idx="10">
                  <c:v>44221</c:v>
                </c:pt>
                <c:pt idx="11">
                  <c:v>44218</c:v>
                </c:pt>
                <c:pt idx="12">
                  <c:v>44217</c:v>
                </c:pt>
                <c:pt idx="13">
                  <c:v>44216</c:v>
                </c:pt>
                <c:pt idx="14">
                  <c:v>44215</c:v>
                </c:pt>
                <c:pt idx="15">
                  <c:v>44214</c:v>
                </c:pt>
                <c:pt idx="16">
                  <c:v>44211</c:v>
                </c:pt>
                <c:pt idx="17">
                  <c:v>44210</c:v>
                </c:pt>
                <c:pt idx="18">
                  <c:v>44209</c:v>
                </c:pt>
                <c:pt idx="19">
                  <c:v>44208</c:v>
                </c:pt>
                <c:pt idx="20">
                  <c:v>44207</c:v>
                </c:pt>
                <c:pt idx="21">
                  <c:v>44204</c:v>
                </c:pt>
                <c:pt idx="22">
                  <c:v>44203</c:v>
                </c:pt>
                <c:pt idx="23">
                  <c:v>44202</c:v>
                </c:pt>
                <c:pt idx="24">
                  <c:v>44201</c:v>
                </c:pt>
                <c:pt idx="25">
                  <c:v>44200</c:v>
                </c:pt>
                <c:pt idx="26">
                  <c:v>44196</c:v>
                </c:pt>
                <c:pt idx="27">
                  <c:v>44195</c:v>
                </c:pt>
                <c:pt idx="28">
                  <c:v>44194</c:v>
                </c:pt>
                <c:pt idx="29">
                  <c:v>44193</c:v>
                </c:pt>
                <c:pt idx="30">
                  <c:v>44190</c:v>
                </c:pt>
                <c:pt idx="31">
                  <c:v>44189</c:v>
                </c:pt>
                <c:pt idx="32">
                  <c:v>44188</c:v>
                </c:pt>
                <c:pt idx="33">
                  <c:v>44187</c:v>
                </c:pt>
                <c:pt idx="34">
                  <c:v>44186</c:v>
                </c:pt>
                <c:pt idx="35">
                  <c:v>44183</c:v>
                </c:pt>
                <c:pt idx="36">
                  <c:v>44182</c:v>
                </c:pt>
                <c:pt idx="37">
                  <c:v>44181</c:v>
                </c:pt>
                <c:pt idx="38">
                  <c:v>44180</c:v>
                </c:pt>
                <c:pt idx="39">
                  <c:v>44179</c:v>
                </c:pt>
                <c:pt idx="40">
                  <c:v>44176</c:v>
                </c:pt>
                <c:pt idx="41">
                  <c:v>44175</c:v>
                </c:pt>
                <c:pt idx="42">
                  <c:v>44174</c:v>
                </c:pt>
                <c:pt idx="43">
                  <c:v>44173</c:v>
                </c:pt>
                <c:pt idx="44">
                  <c:v>44172</c:v>
                </c:pt>
                <c:pt idx="45">
                  <c:v>44169</c:v>
                </c:pt>
                <c:pt idx="46">
                  <c:v>44168</c:v>
                </c:pt>
                <c:pt idx="47">
                  <c:v>44167</c:v>
                </c:pt>
                <c:pt idx="48">
                  <c:v>44166</c:v>
                </c:pt>
                <c:pt idx="49">
                  <c:v>44165</c:v>
                </c:pt>
                <c:pt idx="50">
                  <c:v>44162</c:v>
                </c:pt>
                <c:pt idx="51">
                  <c:v>44161</c:v>
                </c:pt>
                <c:pt idx="52">
                  <c:v>44160</c:v>
                </c:pt>
                <c:pt idx="53">
                  <c:v>44159</c:v>
                </c:pt>
                <c:pt idx="54">
                  <c:v>44158</c:v>
                </c:pt>
                <c:pt idx="55">
                  <c:v>44155</c:v>
                </c:pt>
                <c:pt idx="56">
                  <c:v>44154</c:v>
                </c:pt>
                <c:pt idx="57">
                  <c:v>44153</c:v>
                </c:pt>
                <c:pt idx="58">
                  <c:v>44152</c:v>
                </c:pt>
              </c:numCache>
            </c:numRef>
          </c:cat>
          <c:val>
            <c:numRef>
              <c:f>资金!$C$3:$C$61</c:f>
              <c:numCache>
                <c:formatCode>###,###,###,###,##0.0000</c:formatCode>
                <c:ptCount val="59"/>
                <c:pt idx="0">
                  <c:v>2.4319999999999999</c:v>
                </c:pt>
                <c:pt idx="1">
                  <c:v>2.2995999999999999</c:v>
                </c:pt>
                <c:pt idx="2">
                  <c:v>2.5297000000000001</c:v>
                </c:pt>
                <c:pt idx="3">
                  <c:v>2.2336</c:v>
                </c:pt>
                <c:pt idx="4">
                  <c:v>2.5807000000000002</c:v>
                </c:pt>
                <c:pt idx="5">
                  <c:v>3.7665999999999999</c:v>
                </c:pt>
                <c:pt idx="6">
                  <c:v>4.3929999999999998</c:v>
                </c:pt>
                <c:pt idx="7">
                  <c:v>4.8315000000000001</c:v>
                </c:pt>
                <c:pt idx="8">
                  <c:v>4.0193000000000003</c:v>
                </c:pt>
                <c:pt idx="9">
                  <c:v>3.3340999999999998</c:v>
                </c:pt>
                <c:pt idx="10">
                  <c:v>2.7936999999999999</c:v>
                </c:pt>
                <c:pt idx="11">
                  <c:v>2.5236000000000001</c:v>
                </c:pt>
                <c:pt idx="12">
                  <c:v>2.7056</c:v>
                </c:pt>
                <c:pt idx="13">
                  <c:v>2.8475000000000001</c:v>
                </c:pt>
                <c:pt idx="14">
                  <c:v>2.7555000000000001</c:v>
                </c:pt>
                <c:pt idx="15">
                  <c:v>2.2976000000000001</c:v>
                </c:pt>
                <c:pt idx="16">
                  <c:v>2.0333999999999999</c:v>
                </c:pt>
                <c:pt idx="17">
                  <c:v>2.0226000000000002</c:v>
                </c:pt>
                <c:pt idx="18">
                  <c:v>2.0316000000000001</c:v>
                </c:pt>
                <c:pt idx="19">
                  <c:v>1.9894000000000001</c:v>
                </c:pt>
                <c:pt idx="20">
                  <c:v>1.9881</c:v>
                </c:pt>
                <c:pt idx="21">
                  <c:v>1.9588000000000001</c:v>
                </c:pt>
                <c:pt idx="22">
                  <c:v>1.9403999999999999</c:v>
                </c:pt>
                <c:pt idx="23">
                  <c:v>1.99</c:v>
                </c:pt>
                <c:pt idx="24">
                  <c:v>1.9370000000000001</c:v>
                </c:pt>
                <c:pt idx="25">
                  <c:v>2.0960000000000001</c:v>
                </c:pt>
                <c:pt idx="26">
                  <c:v>2.5943000000000001</c:v>
                </c:pt>
                <c:pt idx="27">
                  <c:v>3.3605</c:v>
                </c:pt>
                <c:pt idx="28">
                  <c:v>2.9542000000000002</c:v>
                </c:pt>
                <c:pt idx="29">
                  <c:v>2.7515999999999998</c:v>
                </c:pt>
                <c:pt idx="30">
                  <c:v>2.4668000000000001</c:v>
                </c:pt>
                <c:pt idx="31">
                  <c:v>1.7735000000000001</c:v>
                </c:pt>
                <c:pt idx="32">
                  <c:v>2.0478000000000001</c:v>
                </c:pt>
                <c:pt idx="33">
                  <c:v>2.1903999999999999</c:v>
                </c:pt>
                <c:pt idx="34">
                  <c:v>2.2450999999999999</c:v>
                </c:pt>
                <c:pt idx="35">
                  <c:v>2.2906</c:v>
                </c:pt>
                <c:pt idx="36">
                  <c:v>2.1383999999999999</c:v>
                </c:pt>
                <c:pt idx="37">
                  <c:v>2.1206</c:v>
                </c:pt>
                <c:pt idx="38">
                  <c:v>2.3511000000000002</c:v>
                </c:pt>
                <c:pt idx="39">
                  <c:v>2.4319000000000002</c:v>
                </c:pt>
                <c:pt idx="40">
                  <c:v>2.3391000000000002</c:v>
                </c:pt>
                <c:pt idx="41">
                  <c:v>2.2159</c:v>
                </c:pt>
                <c:pt idx="42">
                  <c:v>2.2378999999999998</c:v>
                </c:pt>
                <c:pt idx="43">
                  <c:v>2.3071000000000002</c:v>
                </c:pt>
                <c:pt idx="44">
                  <c:v>2.2997000000000001</c:v>
                </c:pt>
                <c:pt idx="45">
                  <c:v>2.3256999999999999</c:v>
                </c:pt>
                <c:pt idx="46">
                  <c:v>2.2808999999999999</c:v>
                </c:pt>
                <c:pt idx="47">
                  <c:v>2.0720000000000001</c:v>
                </c:pt>
                <c:pt idx="48">
                  <c:v>2.13</c:v>
                </c:pt>
                <c:pt idx="49">
                  <c:v>2.4761000000000002</c:v>
                </c:pt>
                <c:pt idx="50">
                  <c:v>2.5836999999999999</c:v>
                </c:pt>
                <c:pt idx="51">
                  <c:v>2.7519999999999998</c:v>
                </c:pt>
                <c:pt idx="52">
                  <c:v>3.1027</c:v>
                </c:pt>
                <c:pt idx="53">
                  <c:v>3.0409000000000002</c:v>
                </c:pt>
                <c:pt idx="54">
                  <c:v>2.3380000000000001</c:v>
                </c:pt>
                <c:pt idx="55">
                  <c:v>2.3595999999999999</c:v>
                </c:pt>
                <c:pt idx="56">
                  <c:v>2.4016999999999999</c:v>
                </c:pt>
                <c:pt idx="57">
                  <c:v>2.3649</c:v>
                </c:pt>
                <c:pt idx="58">
                  <c:v>2.4184999999999999</c:v>
                </c:pt>
              </c:numCache>
            </c:numRef>
          </c:val>
          <c:smooth val="1"/>
          <c:extLst xmlns:c16r2="http://schemas.microsoft.com/office/drawing/2015/06/chart">
            <c:ext xmlns:c16="http://schemas.microsoft.com/office/drawing/2014/chart" uri="{C3380CC4-5D6E-409C-BE32-E72D297353CC}">
              <c16:uniqueId val="{00000001-9F41-4D94-B5EB-BC50A8A11ACD}"/>
            </c:ext>
          </c:extLst>
        </c:ser>
        <c:dLbls>
          <c:showLegendKey val="0"/>
          <c:showVal val="0"/>
          <c:showCatName val="0"/>
          <c:showSerName val="0"/>
          <c:showPercent val="0"/>
          <c:showBubbleSize val="0"/>
        </c:dLbls>
        <c:marker val="1"/>
        <c:smooth val="0"/>
        <c:axId val="444623104"/>
        <c:axId val="444633088"/>
      </c:lineChart>
      <c:dateAx>
        <c:axId val="44462310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633088"/>
        <c:crosses val="autoZero"/>
        <c:auto val="0"/>
        <c:lblOffset val="0"/>
        <c:baseTimeUnit val="days"/>
        <c:majorUnit val="14"/>
        <c:majorTimeUnit val="days"/>
        <c:minorUnit val="7"/>
        <c:minorTimeUnit val="days"/>
      </c:dateAx>
      <c:valAx>
        <c:axId val="444633088"/>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62310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-58.260000000000019</c:v>
                </c:pt>
                <c:pt idx="1">
                  <c:v>-13.800000000000034</c:v>
                </c:pt>
                <c:pt idx="2">
                  <c:v>2.220000000000022</c:v>
                </c:pt>
                <c:pt idx="3">
                  <c:v>2.870000000000017</c:v>
                </c:pt>
                <c:pt idx="4">
                  <c:v>6.8900000000000183</c:v>
                </c:pt>
                <c:pt idx="5">
                  <c:v>2.4599999999999955</c:v>
                </c:pt>
                <c:pt idx="6">
                  <c:v>3.7800000000000278</c:v>
                </c:pt>
              </c:numCache>
            </c:numRef>
          </c:val>
          <c:extLst xmlns:c16r2="http://schemas.microsoft.com/office/drawing/2015/06/chart">
            <c:ext xmlns:c16="http://schemas.microsoft.com/office/drawing/2014/chart" uri="{C3380CC4-5D6E-409C-BE32-E72D297353CC}">
              <c16:uniqueId val="{00000000-A137-409E-ACE0-9080A8B8B638}"/>
            </c:ext>
          </c:extLst>
        </c:ser>
        <c:dLbls>
          <c:showLegendKey val="0"/>
          <c:showVal val="0"/>
          <c:showCatName val="0"/>
          <c:showSerName val="0"/>
          <c:showPercent val="0"/>
          <c:showBubbleSize val="0"/>
        </c:dLbls>
        <c:gapWidth val="150"/>
        <c:axId val="444844672"/>
        <c:axId val="44490419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137-409E-ACE0-9080A8B8B63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A137-409E-ACE0-9080A8B8B63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137-409E-ACE0-9080A8B8B63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137-409E-ACE0-9080A8B8B63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A137-409E-ACE0-9080A8B8B63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137-409E-ACE0-9080A8B8B63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2.2044999999999999</c:v>
                </c:pt>
                <c:pt idx="1">
                  <c:v>2.4550999999999998</c:v>
                </c:pt>
                <c:pt idx="2">
                  <c:v>2.7021000000000002</c:v>
                </c:pt>
                <c:pt idx="3">
                  <c:v>2.9136000000000002</c:v>
                </c:pt>
                <c:pt idx="4">
                  <c:v>3.0695000000000001</c:v>
                </c:pt>
                <c:pt idx="5">
                  <c:v>3.2046000000000001</c:v>
                </c:pt>
                <c:pt idx="6">
                  <c:v>3.2164000000000001</c:v>
                </c:pt>
              </c:numCache>
            </c:numRef>
          </c:val>
          <c:smooth val="0"/>
          <c:extLst xmlns:c16r2="http://schemas.microsoft.com/office/drawing/2015/06/chart">
            <c:ext xmlns:c16="http://schemas.microsoft.com/office/drawing/2014/chart" uri="{C3380CC4-5D6E-409C-BE32-E72D297353CC}">
              <c16:uniqueId val="{00000007-A137-409E-ACE0-9080A8B8B638}"/>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2.7871000000000001</c:v>
                </c:pt>
                <c:pt idx="1">
                  <c:v>2.5931000000000002</c:v>
                </c:pt>
                <c:pt idx="2">
                  <c:v>2.6798999999999999</c:v>
                </c:pt>
                <c:pt idx="3">
                  <c:v>2.8849</c:v>
                </c:pt>
                <c:pt idx="4">
                  <c:v>3.0005999999999999</c:v>
                </c:pt>
                <c:pt idx="5">
                  <c:v>3.18</c:v>
                </c:pt>
                <c:pt idx="6">
                  <c:v>3.1785999999999999</c:v>
                </c:pt>
              </c:numCache>
            </c:numRef>
          </c:val>
          <c:smooth val="0"/>
          <c:extLst xmlns:c16r2="http://schemas.microsoft.com/office/drawing/2015/06/chart">
            <c:ext xmlns:c16="http://schemas.microsoft.com/office/drawing/2014/chart" uri="{C3380CC4-5D6E-409C-BE32-E72D297353CC}">
              <c16:uniqueId val="{00000008-A137-409E-ACE0-9080A8B8B638}"/>
            </c:ext>
          </c:extLst>
        </c:ser>
        <c:dLbls>
          <c:showLegendKey val="0"/>
          <c:showVal val="0"/>
          <c:showCatName val="0"/>
          <c:showSerName val="0"/>
          <c:showPercent val="0"/>
          <c:showBubbleSize val="0"/>
        </c:dLbls>
        <c:marker val="1"/>
        <c:smooth val="0"/>
        <c:axId val="444907520"/>
        <c:axId val="444905728"/>
      </c:lineChart>
      <c:dateAx>
        <c:axId val="4448446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904192"/>
        <c:crosses val="autoZero"/>
        <c:auto val="0"/>
        <c:lblOffset val="0"/>
        <c:baseTimeUnit val="days"/>
      </c:dateAx>
      <c:valAx>
        <c:axId val="44490419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844672"/>
        <c:crosses val="autoZero"/>
        <c:crossBetween val="between"/>
      </c:valAx>
      <c:valAx>
        <c:axId val="444905728"/>
        <c:scaling>
          <c:orientation val="minMax"/>
        </c:scaling>
        <c:delete val="0"/>
        <c:axPos val="r"/>
        <c:numFmt formatCode="#,##0.0_);[Red]\(#,##0.0\)" sourceLinked="0"/>
        <c:majorTickMark val="out"/>
        <c:minorTickMark val="none"/>
        <c:tickLblPos val="nextTo"/>
        <c:spPr>
          <a:ln w="3175">
            <a:solidFill>
              <a:sysClr val="windowText" lastClr="000000"/>
            </a:solidFill>
          </a:ln>
        </c:spPr>
        <c:crossAx val="444907520"/>
        <c:crosses val="max"/>
        <c:crossBetween val="between"/>
      </c:valAx>
      <c:dateAx>
        <c:axId val="444907520"/>
        <c:scaling>
          <c:orientation val="minMax"/>
        </c:scaling>
        <c:delete val="1"/>
        <c:axPos val="b"/>
        <c:numFmt formatCode="General" sourceLinked="1"/>
        <c:majorTickMark val="out"/>
        <c:minorTickMark val="none"/>
        <c:tickLblPos val="nextTo"/>
        <c:crossAx val="444905728"/>
        <c:crosses val="autoZero"/>
        <c:auto val="0"/>
        <c:lblOffset val="100"/>
        <c:baseTimeUnit val="years"/>
      </c:dateAx>
    </c:plotArea>
    <c:legend>
      <c:legendPos val="r"/>
      <c:layout>
        <c:manualLayout>
          <c:xMode val="edge"/>
          <c:yMode val="edge"/>
          <c:x val="0.10990412139621653"/>
          <c:y val="2.3338121649467149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-55.760000000000034</c:v>
                </c:pt>
                <c:pt idx="1">
                  <c:v>-37.119999999999997</c:v>
                </c:pt>
                <c:pt idx="2">
                  <c:v>0.88000000000003631</c:v>
                </c:pt>
                <c:pt idx="3">
                  <c:v>11.070000000000002</c:v>
                </c:pt>
                <c:pt idx="4">
                  <c:v>6.2100000000000044</c:v>
                </c:pt>
                <c:pt idx="5">
                  <c:v>3.5800000000000054</c:v>
                </c:pt>
                <c:pt idx="6">
                  <c:v>9.4399999999999817</c:v>
                </c:pt>
              </c:numCache>
            </c:numRef>
          </c:val>
          <c:extLst xmlns:c16r2="http://schemas.microsoft.com/office/drawing/2015/06/chart">
            <c:ext xmlns:c16="http://schemas.microsoft.com/office/drawing/2014/chart" uri="{C3380CC4-5D6E-409C-BE32-E72D297353CC}">
              <c16:uniqueId val="{00000000-388B-40F8-9367-BA07BAE784BF}"/>
            </c:ext>
          </c:extLst>
        </c:ser>
        <c:dLbls>
          <c:showLegendKey val="0"/>
          <c:showVal val="0"/>
          <c:showCatName val="0"/>
          <c:showSerName val="0"/>
          <c:showPercent val="0"/>
          <c:showBubbleSize val="0"/>
        </c:dLbls>
        <c:gapWidth val="150"/>
        <c:axId val="446057472"/>
        <c:axId val="44607603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88B-40F8-9367-BA07BAE784BF}"/>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88B-40F8-9367-BA07BAE784BF}"/>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388B-40F8-9367-BA07BAE784BF}"/>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88B-40F8-9367-BA07BAE784BF}"/>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388B-40F8-9367-BA07BAE784BF}"/>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88B-40F8-9367-BA07BAE784BF}"/>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2.3445999999999998</c:v>
                </c:pt>
                <c:pt idx="1">
                  <c:v>2.4845999999999999</c:v>
                </c:pt>
                <c:pt idx="2">
                  <c:v>2.8595000000000002</c:v>
                </c:pt>
                <c:pt idx="3">
                  <c:v>3.2839999999999998</c:v>
                </c:pt>
                <c:pt idx="4">
                  <c:v>3.4655</c:v>
                </c:pt>
                <c:pt idx="5">
                  <c:v>3.5350000000000001</c:v>
                </c:pt>
                <c:pt idx="6">
                  <c:v>3.6839</c:v>
                </c:pt>
              </c:numCache>
            </c:numRef>
          </c:val>
          <c:smooth val="0"/>
          <c:extLst xmlns:c16r2="http://schemas.microsoft.com/office/drawing/2015/06/chart">
            <c:ext xmlns:c16="http://schemas.microsoft.com/office/drawing/2014/chart" uri="{C3380CC4-5D6E-409C-BE32-E72D297353CC}">
              <c16:uniqueId val="{00000007-388B-40F8-9367-BA07BAE784BF}"/>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2.9022000000000001</c:v>
                </c:pt>
                <c:pt idx="1">
                  <c:v>2.8557999999999999</c:v>
                </c:pt>
                <c:pt idx="2">
                  <c:v>2.8506999999999998</c:v>
                </c:pt>
                <c:pt idx="3">
                  <c:v>3.1732999999999998</c:v>
                </c:pt>
                <c:pt idx="4">
                  <c:v>3.4034</c:v>
                </c:pt>
                <c:pt idx="5">
                  <c:v>3.4992000000000001</c:v>
                </c:pt>
                <c:pt idx="6">
                  <c:v>3.5895000000000001</c:v>
                </c:pt>
              </c:numCache>
            </c:numRef>
          </c:val>
          <c:smooth val="0"/>
          <c:extLst xmlns:c16r2="http://schemas.microsoft.com/office/drawing/2015/06/chart">
            <c:ext xmlns:c16="http://schemas.microsoft.com/office/drawing/2014/chart" uri="{C3380CC4-5D6E-409C-BE32-E72D297353CC}">
              <c16:uniqueId val="{00000008-388B-40F8-9367-BA07BAE784BF}"/>
            </c:ext>
          </c:extLst>
        </c:ser>
        <c:dLbls>
          <c:showLegendKey val="0"/>
          <c:showVal val="0"/>
          <c:showCatName val="0"/>
          <c:showSerName val="0"/>
          <c:showPercent val="0"/>
          <c:showBubbleSize val="0"/>
        </c:dLbls>
        <c:marker val="1"/>
        <c:smooth val="0"/>
        <c:axId val="446083456"/>
        <c:axId val="446077568"/>
      </c:lineChart>
      <c:dateAx>
        <c:axId val="4460574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6076032"/>
        <c:crosses val="autoZero"/>
        <c:auto val="0"/>
        <c:lblOffset val="0"/>
        <c:baseTimeUnit val="days"/>
      </c:dateAx>
      <c:valAx>
        <c:axId val="4460760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6057472"/>
        <c:crosses val="autoZero"/>
        <c:crossBetween val="between"/>
      </c:valAx>
      <c:valAx>
        <c:axId val="446077568"/>
        <c:scaling>
          <c:orientation val="minMax"/>
        </c:scaling>
        <c:delete val="0"/>
        <c:axPos val="r"/>
        <c:numFmt formatCode="#,##0.0_);[Red]\(#,##0.0\)" sourceLinked="0"/>
        <c:majorTickMark val="out"/>
        <c:minorTickMark val="none"/>
        <c:tickLblPos val="nextTo"/>
        <c:spPr>
          <a:ln w="3175">
            <a:solidFill>
              <a:sysClr val="windowText" lastClr="000000"/>
            </a:solidFill>
          </a:ln>
        </c:spPr>
        <c:crossAx val="446083456"/>
        <c:crosses val="max"/>
        <c:crossBetween val="between"/>
      </c:valAx>
      <c:dateAx>
        <c:axId val="446083456"/>
        <c:scaling>
          <c:orientation val="minMax"/>
        </c:scaling>
        <c:delete val="1"/>
        <c:axPos val="b"/>
        <c:numFmt formatCode="General" sourceLinked="1"/>
        <c:majorTickMark val="out"/>
        <c:minorTickMark val="none"/>
        <c:tickLblPos val="nextTo"/>
        <c:crossAx val="446077568"/>
        <c:crosses val="autoZero"/>
        <c:auto val="0"/>
        <c:lblOffset val="100"/>
        <c:baseTimeUnit val="years"/>
      </c:dateAx>
    </c:plotArea>
    <c:legend>
      <c:legendPos val="r"/>
      <c:layout>
        <c:manualLayout>
          <c:xMode val="edge"/>
          <c:yMode val="edge"/>
          <c:x val="8.4482085863790524E-2"/>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44232</c:v>
                </c:pt>
                <c:pt idx="1">
                  <c:v>44225</c:v>
                </c:pt>
                <c:pt idx="2">
                  <c:v>44218</c:v>
                </c:pt>
                <c:pt idx="3">
                  <c:v>44211</c:v>
                </c:pt>
                <c:pt idx="4">
                  <c:v>44204</c:v>
                </c:pt>
                <c:pt idx="5">
                  <c:v>44196</c:v>
                </c:pt>
                <c:pt idx="6">
                  <c:v>44190</c:v>
                </c:pt>
                <c:pt idx="7">
                  <c:v>44183</c:v>
                </c:pt>
                <c:pt idx="8">
                  <c:v>44176</c:v>
                </c:pt>
                <c:pt idx="9">
                  <c:v>44169</c:v>
                </c:pt>
                <c:pt idx="10">
                  <c:v>44162</c:v>
                </c:pt>
                <c:pt idx="11">
                  <c:v>44155</c:v>
                </c:pt>
                <c:pt idx="12">
                  <c:v>44148</c:v>
                </c:pt>
                <c:pt idx="13">
                  <c:v>44141</c:v>
                </c:pt>
                <c:pt idx="14">
                  <c:v>44134</c:v>
                </c:pt>
                <c:pt idx="15">
                  <c:v>44127</c:v>
                </c:pt>
                <c:pt idx="16">
                  <c:v>44120</c:v>
                </c:pt>
                <c:pt idx="17">
                  <c:v>44113</c:v>
                </c:pt>
                <c:pt idx="18">
                  <c:v>44104</c:v>
                </c:pt>
                <c:pt idx="19">
                  <c:v>44099</c:v>
                </c:pt>
                <c:pt idx="20">
                  <c:v>44092</c:v>
                </c:pt>
                <c:pt idx="21">
                  <c:v>44085</c:v>
                </c:pt>
                <c:pt idx="22">
                  <c:v>44078</c:v>
                </c:pt>
                <c:pt idx="23">
                  <c:v>44071</c:v>
                </c:pt>
              </c:numCache>
            </c:numRef>
          </c:cat>
          <c:val>
            <c:numRef>
              <c:f>转债!$H$5:$H$28</c:f>
              <c:numCache>
                <c:formatCode>General</c:formatCode>
                <c:ptCount val="24"/>
                <c:pt idx="0">
                  <c:v>-4.5408165461895855</c:v>
                </c:pt>
                <c:pt idx="1">
                  <c:v>-2.3300368965561757</c:v>
                </c:pt>
                <c:pt idx="2">
                  <c:v>1.5285754571169097</c:v>
                </c:pt>
                <c:pt idx="3">
                  <c:v>0.6047623250427403</c:v>
                </c:pt>
                <c:pt idx="4">
                  <c:v>0.6473311347520827</c:v>
                </c:pt>
                <c:pt idx="5">
                  <c:v>-0.89658200980751168</c:v>
                </c:pt>
                <c:pt idx="6">
                  <c:v>-2.0647218120213084</c:v>
                </c:pt>
                <c:pt idx="7">
                  <c:v>-2.2369344429567173</c:v>
                </c:pt>
                <c:pt idx="8">
                  <c:v>-2.3921679848108557</c:v>
                </c:pt>
                <c:pt idx="9">
                  <c:v>-0.70803608715681587</c:v>
                </c:pt>
                <c:pt idx="10">
                  <c:v>-0.87274132371238933</c:v>
                </c:pt>
                <c:pt idx="11">
                  <c:v>-1.511515643364858</c:v>
                </c:pt>
                <c:pt idx="12">
                  <c:v>-1.4821587714350826</c:v>
                </c:pt>
                <c:pt idx="13">
                  <c:v>-1.1316522510343541</c:v>
                </c:pt>
                <c:pt idx="14">
                  <c:v>-1.5579592372702566</c:v>
                </c:pt>
                <c:pt idx="15">
                  <c:v>-1.2864552613111369</c:v>
                </c:pt>
                <c:pt idx="16">
                  <c:v>-0.83975184159881255</c:v>
                </c:pt>
                <c:pt idx="17">
                  <c:v>-2.3956122374295563</c:v>
                </c:pt>
                <c:pt idx="18">
                  <c:v>-3.3423242677734222</c:v>
                </c:pt>
                <c:pt idx="19">
                  <c:v>-4.2776541195413964</c:v>
                </c:pt>
                <c:pt idx="20">
                  <c:v>-2.2208433252536852</c:v>
                </c:pt>
                <c:pt idx="21">
                  <c:v>-2.3374366580416805</c:v>
                </c:pt>
                <c:pt idx="22">
                  <c:v>0.26071377830207965</c:v>
                </c:pt>
                <c:pt idx="23">
                  <c:v>0</c:v>
                </c:pt>
              </c:numCache>
            </c:numRef>
          </c:val>
          <c:smooth val="1"/>
          <c:extLst xmlns:c16r2="http://schemas.microsoft.com/office/drawing/2015/06/chart">
            <c:ext xmlns:c16="http://schemas.microsoft.com/office/drawing/2014/chart" uri="{C3380CC4-5D6E-409C-BE32-E72D297353CC}">
              <c16:uniqueId val="{00000000-BB24-4960-BBF9-F3354DB30C30}"/>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44232</c:v>
                </c:pt>
                <c:pt idx="1">
                  <c:v>44225</c:v>
                </c:pt>
                <c:pt idx="2">
                  <c:v>44218</c:v>
                </c:pt>
                <c:pt idx="3">
                  <c:v>44211</c:v>
                </c:pt>
                <c:pt idx="4">
                  <c:v>44204</c:v>
                </c:pt>
                <c:pt idx="5">
                  <c:v>44196</c:v>
                </c:pt>
                <c:pt idx="6">
                  <c:v>44190</c:v>
                </c:pt>
                <c:pt idx="7">
                  <c:v>44183</c:v>
                </c:pt>
                <c:pt idx="8">
                  <c:v>44176</c:v>
                </c:pt>
                <c:pt idx="9">
                  <c:v>44169</c:v>
                </c:pt>
                <c:pt idx="10">
                  <c:v>44162</c:v>
                </c:pt>
                <c:pt idx="11">
                  <c:v>44155</c:v>
                </c:pt>
                <c:pt idx="12">
                  <c:v>44148</c:v>
                </c:pt>
                <c:pt idx="13">
                  <c:v>44141</c:v>
                </c:pt>
                <c:pt idx="14">
                  <c:v>44134</c:v>
                </c:pt>
                <c:pt idx="15">
                  <c:v>44127</c:v>
                </c:pt>
                <c:pt idx="16">
                  <c:v>44120</c:v>
                </c:pt>
                <c:pt idx="17">
                  <c:v>44113</c:v>
                </c:pt>
                <c:pt idx="18">
                  <c:v>44104</c:v>
                </c:pt>
                <c:pt idx="19">
                  <c:v>44099</c:v>
                </c:pt>
                <c:pt idx="20">
                  <c:v>44092</c:v>
                </c:pt>
                <c:pt idx="21">
                  <c:v>44085</c:v>
                </c:pt>
                <c:pt idx="22">
                  <c:v>44078</c:v>
                </c:pt>
                <c:pt idx="23">
                  <c:v>44071</c:v>
                </c:pt>
              </c:numCache>
            </c:numRef>
          </c:cat>
          <c:val>
            <c:numRef>
              <c:f>转债!$I$5:$I$28</c:f>
              <c:numCache>
                <c:formatCode>General</c:formatCode>
                <c:ptCount val="24"/>
                <c:pt idx="0">
                  <c:v>-4.6888000763845028E-2</c:v>
                </c:pt>
                <c:pt idx="1">
                  <c:v>0.14714307148799843</c:v>
                </c:pt>
                <c:pt idx="2">
                  <c:v>0.52753263404854422</c:v>
                </c:pt>
                <c:pt idx="3">
                  <c:v>0.45251183282637442</c:v>
                </c:pt>
                <c:pt idx="4">
                  <c:v>0.46316819663634323</c:v>
                </c:pt>
                <c:pt idx="5">
                  <c:v>0.43818967986579693</c:v>
                </c:pt>
                <c:pt idx="6">
                  <c:v>0.16120947171716082</c:v>
                </c:pt>
                <c:pt idx="7">
                  <c:v>-0.15933395168660214</c:v>
                </c:pt>
                <c:pt idx="8">
                  <c:v>-0.28925633925769301</c:v>
                </c:pt>
                <c:pt idx="9">
                  <c:v>-0.33273430360235556</c:v>
                </c:pt>
                <c:pt idx="10">
                  <c:v>-0.50732816826484228</c:v>
                </c:pt>
                <c:pt idx="11">
                  <c:v>-0.69274889855822641</c:v>
                </c:pt>
                <c:pt idx="12">
                  <c:v>-0.42489053783093533</c:v>
                </c:pt>
                <c:pt idx="13">
                  <c:v>-0.20511369061421147</c:v>
                </c:pt>
                <c:pt idx="14">
                  <c:v>-0.22651166914462451</c:v>
                </c:pt>
                <c:pt idx="15">
                  <c:v>-0.33546233273770154</c:v>
                </c:pt>
                <c:pt idx="16">
                  <c:v>-0.58251947130794068</c:v>
                </c:pt>
                <c:pt idx="17">
                  <c:v>-0.50698716462290738</c:v>
                </c:pt>
                <c:pt idx="18">
                  <c:v>-0.3023849794715705</c:v>
                </c:pt>
                <c:pt idx="19">
                  <c:v>-0.19948713052254652</c:v>
                </c:pt>
                <c:pt idx="20">
                  <c:v>-0.2023856614788544</c:v>
                </c:pt>
                <c:pt idx="21">
                  <c:v>-0.22148186542632065</c:v>
                </c:pt>
                <c:pt idx="22">
                  <c:v>-0.24859165495886293</c:v>
                </c:pt>
                <c:pt idx="23">
                  <c:v>0</c:v>
                </c:pt>
              </c:numCache>
            </c:numRef>
          </c:val>
          <c:smooth val="1"/>
          <c:extLst xmlns:c16r2="http://schemas.microsoft.com/office/drawing/2015/06/chart">
            <c:ext xmlns:c16="http://schemas.microsoft.com/office/drawing/2014/chart" uri="{C3380CC4-5D6E-409C-BE32-E72D297353CC}">
              <c16:uniqueId val="{00000001-BB24-4960-BBF9-F3354DB30C30}"/>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44232</c:v>
                </c:pt>
                <c:pt idx="1">
                  <c:v>44225</c:v>
                </c:pt>
                <c:pt idx="2">
                  <c:v>44218</c:v>
                </c:pt>
                <c:pt idx="3">
                  <c:v>44211</c:v>
                </c:pt>
                <c:pt idx="4">
                  <c:v>44204</c:v>
                </c:pt>
                <c:pt idx="5">
                  <c:v>44196</c:v>
                </c:pt>
                <c:pt idx="6">
                  <c:v>44190</c:v>
                </c:pt>
                <c:pt idx="7">
                  <c:v>44183</c:v>
                </c:pt>
                <c:pt idx="8">
                  <c:v>44176</c:v>
                </c:pt>
                <c:pt idx="9">
                  <c:v>44169</c:v>
                </c:pt>
                <c:pt idx="10">
                  <c:v>44162</c:v>
                </c:pt>
                <c:pt idx="11">
                  <c:v>44155</c:v>
                </c:pt>
                <c:pt idx="12">
                  <c:v>44148</c:v>
                </c:pt>
                <c:pt idx="13">
                  <c:v>44141</c:v>
                </c:pt>
                <c:pt idx="14">
                  <c:v>44134</c:v>
                </c:pt>
                <c:pt idx="15">
                  <c:v>44127</c:v>
                </c:pt>
                <c:pt idx="16">
                  <c:v>44120</c:v>
                </c:pt>
                <c:pt idx="17">
                  <c:v>44113</c:v>
                </c:pt>
                <c:pt idx="18">
                  <c:v>44104</c:v>
                </c:pt>
                <c:pt idx="19">
                  <c:v>44099</c:v>
                </c:pt>
                <c:pt idx="20">
                  <c:v>44092</c:v>
                </c:pt>
                <c:pt idx="21">
                  <c:v>44085</c:v>
                </c:pt>
                <c:pt idx="22">
                  <c:v>44078</c:v>
                </c:pt>
                <c:pt idx="23">
                  <c:v>44071</c:v>
                </c:pt>
              </c:numCache>
            </c:numRef>
          </c:cat>
          <c:val>
            <c:numRef>
              <c:f>转债!$J$5:$J$28</c:f>
              <c:numCache>
                <c:formatCode>General</c:formatCode>
                <c:ptCount val="24"/>
                <c:pt idx="0">
                  <c:v>13.193926707398273</c:v>
                </c:pt>
                <c:pt idx="1">
                  <c:v>10.480421261825224</c:v>
                </c:pt>
                <c:pt idx="2">
                  <c:v>14.97669450466914</c:v>
                </c:pt>
                <c:pt idx="3">
                  <c:v>12.670982587823643</c:v>
                </c:pt>
                <c:pt idx="4">
                  <c:v>13.441984968122721</c:v>
                </c:pt>
                <c:pt idx="5">
                  <c:v>7.5764493653237563</c:v>
                </c:pt>
                <c:pt idx="6">
                  <c:v>4.0821154878143417</c:v>
                </c:pt>
                <c:pt idx="7">
                  <c:v>3.2141634194593705</c:v>
                </c:pt>
                <c:pt idx="8">
                  <c:v>0.93644749259393922</c:v>
                </c:pt>
                <c:pt idx="9">
                  <c:v>4.5755360379526655</c:v>
                </c:pt>
                <c:pt idx="10">
                  <c:v>2.8177606791634835</c:v>
                </c:pt>
                <c:pt idx="11">
                  <c:v>2.0441283850438197</c:v>
                </c:pt>
                <c:pt idx="12">
                  <c:v>0.25981442964766455</c:v>
                </c:pt>
                <c:pt idx="13">
                  <c:v>0.85570459684991551</c:v>
                </c:pt>
                <c:pt idx="14">
                  <c:v>-3.0743857706221234</c:v>
                </c:pt>
                <c:pt idx="15">
                  <c:v>-2.5964123516606818</c:v>
                </c:pt>
                <c:pt idx="16">
                  <c:v>-1.0855970478247046</c:v>
                </c:pt>
                <c:pt idx="17">
                  <c:v>-3.367363124545697</c:v>
                </c:pt>
                <c:pt idx="18">
                  <c:v>-5.3025565156919914</c:v>
                </c:pt>
                <c:pt idx="19">
                  <c:v>-5.6612012075639377</c:v>
                </c:pt>
                <c:pt idx="20">
                  <c:v>-2.2124408052639155</c:v>
                </c:pt>
                <c:pt idx="21">
                  <c:v>-4.4791643529342728</c:v>
                </c:pt>
                <c:pt idx="22">
                  <c:v>-1.5285331612315489</c:v>
                </c:pt>
                <c:pt idx="23">
                  <c:v>0</c:v>
                </c:pt>
              </c:numCache>
            </c:numRef>
          </c:val>
          <c:smooth val="1"/>
          <c:extLst xmlns:c16r2="http://schemas.microsoft.com/office/drawing/2015/06/chart">
            <c:ext xmlns:c16="http://schemas.microsoft.com/office/drawing/2014/chart" uri="{C3380CC4-5D6E-409C-BE32-E72D297353CC}">
              <c16:uniqueId val="{00000002-BB24-4960-BBF9-F3354DB30C30}"/>
            </c:ext>
          </c:extLst>
        </c:ser>
        <c:dLbls>
          <c:showLegendKey val="0"/>
          <c:showVal val="0"/>
          <c:showCatName val="0"/>
          <c:showSerName val="0"/>
          <c:showPercent val="0"/>
          <c:showBubbleSize val="0"/>
        </c:dLbls>
        <c:marker val="1"/>
        <c:smooth val="0"/>
        <c:axId val="465962880"/>
        <c:axId val="465964416"/>
      </c:lineChart>
      <c:dateAx>
        <c:axId val="4659628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65964416"/>
        <c:crosses val="autoZero"/>
        <c:auto val="0"/>
        <c:lblOffset val="0"/>
        <c:baseTimeUnit val="days"/>
        <c:majorUnit val="14"/>
        <c:majorTimeUnit val="days"/>
      </c:dateAx>
      <c:valAx>
        <c:axId val="46596441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596288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081-47D6-8CF2-FAA61ACD5C44}"/>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081-47D6-8CF2-FAA61ACD5C44}"/>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081-47D6-8CF2-FAA61ACD5C44}"/>
            </c:ext>
          </c:extLst>
        </c:ser>
        <c:dLbls>
          <c:showLegendKey val="0"/>
          <c:showVal val="0"/>
          <c:showCatName val="0"/>
          <c:showSerName val="0"/>
          <c:showPercent val="0"/>
          <c:showBubbleSize val="0"/>
        </c:dLbls>
        <c:marker val="1"/>
        <c:smooth val="0"/>
        <c:axId val="466694144"/>
        <c:axId val="466695680"/>
      </c:lineChart>
      <c:dateAx>
        <c:axId val="4666941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6695680"/>
        <c:crosses val="autoZero"/>
        <c:auto val="0"/>
        <c:lblOffset val="0"/>
        <c:baseTimeUnit val="days"/>
        <c:majorUnit val="1"/>
        <c:majorTimeUnit val="months"/>
      </c:dateAx>
      <c:valAx>
        <c:axId val="4666956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66941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8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6B8F-49DA-BD35-30778E1EAC7E}"/>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6B8F-49DA-BD35-30778E1EAC7E}"/>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6B8F-49DA-BD35-30778E1EAC7E}"/>
            </c:ext>
          </c:extLst>
        </c:ser>
        <c:dLbls>
          <c:showLegendKey val="0"/>
          <c:showVal val="0"/>
          <c:showCatName val="0"/>
          <c:showSerName val="0"/>
          <c:showPercent val="0"/>
          <c:showBubbleSize val="0"/>
        </c:dLbls>
        <c:marker val="1"/>
        <c:smooth val="0"/>
        <c:axId val="467603456"/>
        <c:axId val="467604992"/>
      </c:lineChart>
      <c:dateAx>
        <c:axId val="46760345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67604992"/>
        <c:crosses val="autoZero"/>
        <c:auto val="0"/>
        <c:lblOffset val="0"/>
        <c:baseTimeUnit val="days"/>
        <c:majorUnit val="1"/>
        <c:majorTimeUnit val="months"/>
      </c:dateAx>
      <c:valAx>
        <c:axId val="46760499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6760345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44233</c:v>
                </c:pt>
                <c:pt idx="1">
                  <c:v>44226</c:v>
                </c:pt>
                <c:pt idx="2">
                  <c:v>44219</c:v>
                </c:pt>
                <c:pt idx="3">
                  <c:v>44212</c:v>
                </c:pt>
                <c:pt idx="4">
                  <c:v>44205</c:v>
                </c:pt>
                <c:pt idx="5">
                  <c:v>44198</c:v>
                </c:pt>
                <c:pt idx="6">
                  <c:v>44191</c:v>
                </c:pt>
                <c:pt idx="7">
                  <c:v>44184</c:v>
                </c:pt>
                <c:pt idx="8">
                  <c:v>44177</c:v>
                </c:pt>
                <c:pt idx="9">
                  <c:v>44170</c:v>
                </c:pt>
                <c:pt idx="10">
                  <c:v>44163</c:v>
                </c:pt>
                <c:pt idx="11">
                  <c:v>44156</c:v>
                </c:pt>
                <c:pt idx="12">
                  <c:v>44149</c:v>
                </c:pt>
                <c:pt idx="13">
                  <c:v>44142</c:v>
                </c:pt>
                <c:pt idx="14">
                  <c:v>44135</c:v>
                </c:pt>
                <c:pt idx="15">
                  <c:v>44128</c:v>
                </c:pt>
                <c:pt idx="16">
                  <c:v>44121</c:v>
                </c:pt>
                <c:pt idx="17">
                  <c:v>44114</c:v>
                </c:pt>
                <c:pt idx="18">
                  <c:v>44107</c:v>
                </c:pt>
                <c:pt idx="19">
                  <c:v>44100</c:v>
                </c:pt>
                <c:pt idx="20">
                  <c:v>44093</c:v>
                </c:pt>
                <c:pt idx="21">
                  <c:v>44086</c:v>
                </c:pt>
                <c:pt idx="22">
                  <c:v>44079</c:v>
                </c:pt>
                <c:pt idx="23">
                  <c:v>44072</c:v>
                </c:pt>
                <c:pt idx="24">
                  <c:v>44065</c:v>
                </c:pt>
                <c:pt idx="25">
                  <c:v>44058</c:v>
                </c:pt>
              </c:numCache>
            </c:numRef>
          </c:cat>
          <c:val>
            <c:numRef>
              <c:f>汇率!$B$3:$B$28</c:f>
              <c:numCache>
                <c:formatCode>###,###,###,###,##0.00</c:formatCode>
                <c:ptCount val="26"/>
                <c:pt idx="0">
                  <c:v>6.4809999999999999</c:v>
                </c:pt>
                <c:pt idx="1">
                  <c:v>6.4611999999999998</c:v>
                </c:pt>
                <c:pt idx="2">
                  <c:v>6.4776999999999996</c:v>
                </c:pt>
                <c:pt idx="3">
                  <c:v>6.4752000000000001</c:v>
                </c:pt>
                <c:pt idx="4">
                  <c:v>6.4718999999999998</c:v>
                </c:pt>
                <c:pt idx="5">
                  <c:v>6.5397999999999996</c:v>
                </c:pt>
                <c:pt idx="6">
                  <c:v>6.5240999999999998</c:v>
                </c:pt>
                <c:pt idx="7">
                  <c:v>6.5415000000000001</c:v>
                </c:pt>
                <c:pt idx="8">
                  <c:v>6.5411000000000001</c:v>
                </c:pt>
                <c:pt idx="9">
                  <c:v>6.5301999999999998</c:v>
                </c:pt>
                <c:pt idx="10">
                  <c:v>6.5823</c:v>
                </c:pt>
                <c:pt idx="11">
                  <c:v>6.5713999999999997</c:v>
                </c:pt>
                <c:pt idx="12">
                  <c:v>6.6143999999999998</c:v>
                </c:pt>
                <c:pt idx="13">
                  <c:v>6.6215000000000002</c:v>
                </c:pt>
                <c:pt idx="14">
                  <c:v>6.7001999999999997</c:v>
                </c:pt>
                <c:pt idx="15">
                  <c:v>6.6689999999999996</c:v>
                </c:pt>
                <c:pt idx="16">
                  <c:v>6.6981999999999999</c:v>
                </c:pt>
                <c:pt idx="17">
                  <c:v>6.7134999999999998</c:v>
                </c:pt>
                <c:pt idx="18">
                  <c:v>6.8106</c:v>
                </c:pt>
                <c:pt idx="19">
                  <c:v>6.8201999999999998</c:v>
                </c:pt>
                <c:pt idx="20">
                  <c:v>6.7587999999999999</c:v>
                </c:pt>
                <c:pt idx="21">
                  <c:v>6.8369</c:v>
                </c:pt>
                <c:pt idx="22">
                  <c:v>6.8392999999999997</c:v>
                </c:pt>
                <c:pt idx="23">
                  <c:v>6.8651</c:v>
                </c:pt>
                <c:pt idx="24">
                  <c:v>6.9135999999999997</c:v>
                </c:pt>
                <c:pt idx="25">
                  <c:v>6.9497999999999998</c:v>
                </c:pt>
              </c:numCache>
            </c:numRef>
          </c:val>
          <c:smooth val="1"/>
          <c:extLst xmlns:c16r2="http://schemas.microsoft.com/office/drawing/2015/06/chart">
            <c:ext xmlns:c16="http://schemas.microsoft.com/office/drawing/2014/chart" uri="{C3380CC4-5D6E-409C-BE32-E72D297353CC}">
              <c16:uniqueId val="{00000000-02E7-4034-A48E-811E94DEFAD6}"/>
            </c:ext>
          </c:extLst>
        </c:ser>
        <c:dLbls>
          <c:showLegendKey val="0"/>
          <c:showVal val="0"/>
          <c:showCatName val="0"/>
          <c:showSerName val="0"/>
          <c:showPercent val="0"/>
          <c:showBubbleSize val="0"/>
        </c:dLbls>
        <c:marker val="1"/>
        <c:smooth val="0"/>
        <c:axId val="467623936"/>
        <c:axId val="46762547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44233</c:v>
                </c:pt>
                <c:pt idx="1">
                  <c:v>44226</c:v>
                </c:pt>
                <c:pt idx="2">
                  <c:v>44219</c:v>
                </c:pt>
                <c:pt idx="3">
                  <c:v>44212</c:v>
                </c:pt>
                <c:pt idx="4">
                  <c:v>44205</c:v>
                </c:pt>
                <c:pt idx="5">
                  <c:v>44198</c:v>
                </c:pt>
                <c:pt idx="6">
                  <c:v>44191</c:v>
                </c:pt>
                <c:pt idx="7">
                  <c:v>44184</c:v>
                </c:pt>
                <c:pt idx="8">
                  <c:v>44177</c:v>
                </c:pt>
                <c:pt idx="9">
                  <c:v>44170</c:v>
                </c:pt>
                <c:pt idx="10">
                  <c:v>44163</c:v>
                </c:pt>
                <c:pt idx="11">
                  <c:v>44156</c:v>
                </c:pt>
                <c:pt idx="12">
                  <c:v>44149</c:v>
                </c:pt>
                <c:pt idx="13">
                  <c:v>44142</c:v>
                </c:pt>
                <c:pt idx="14">
                  <c:v>44135</c:v>
                </c:pt>
                <c:pt idx="15">
                  <c:v>44128</c:v>
                </c:pt>
                <c:pt idx="16">
                  <c:v>44121</c:v>
                </c:pt>
                <c:pt idx="17">
                  <c:v>44114</c:v>
                </c:pt>
                <c:pt idx="18">
                  <c:v>44107</c:v>
                </c:pt>
                <c:pt idx="19">
                  <c:v>44100</c:v>
                </c:pt>
                <c:pt idx="20">
                  <c:v>44093</c:v>
                </c:pt>
                <c:pt idx="21">
                  <c:v>44086</c:v>
                </c:pt>
                <c:pt idx="22">
                  <c:v>44079</c:v>
                </c:pt>
                <c:pt idx="23">
                  <c:v>44072</c:v>
                </c:pt>
                <c:pt idx="24">
                  <c:v>44065</c:v>
                </c:pt>
                <c:pt idx="25">
                  <c:v>44058</c:v>
                </c:pt>
              </c:numCache>
            </c:numRef>
          </c:cat>
          <c:val>
            <c:numRef>
              <c:f>汇率!$C$3:$C$28</c:f>
              <c:numCache>
                <c:formatCode>###,###,###,###,##0.00</c:formatCode>
                <c:ptCount val="26"/>
                <c:pt idx="0">
                  <c:v>202.64000000000001</c:v>
                </c:pt>
                <c:pt idx="1">
                  <c:v>206.86</c:v>
                </c:pt>
                <c:pt idx="2">
                  <c:v>201.85</c:v>
                </c:pt>
                <c:pt idx="3">
                  <c:v>204.07999999999998</c:v>
                </c:pt>
                <c:pt idx="4">
                  <c:v>201.56</c:v>
                </c:pt>
                <c:pt idx="5">
                  <c:v>221.29</c:v>
                </c:pt>
                <c:pt idx="6">
                  <c:v>229.03000000000003</c:v>
                </c:pt>
                <c:pt idx="7">
                  <c:v>234.02000000000004</c:v>
                </c:pt>
                <c:pt idx="8">
                  <c:v>239.51000000000002</c:v>
                </c:pt>
                <c:pt idx="9">
                  <c:v>229.50999999999996</c:v>
                </c:pt>
                <c:pt idx="10">
                  <c:v>246</c:v>
                </c:pt>
                <c:pt idx="11">
                  <c:v>248</c:v>
                </c:pt>
                <c:pt idx="12">
                  <c:v>238.15</c:v>
                </c:pt>
                <c:pt idx="13">
                  <c:v>237.63</c:v>
                </c:pt>
                <c:pt idx="14">
                  <c:v>230.10000000000002</c:v>
                </c:pt>
                <c:pt idx="15">
                  <c:v>234.57</c:v>
                </c:pt>
                <c:pt idx="16">
                  <c:v>246.02000000000004</c:v>
                </c:pt>
                <c:pt idx="17">
                  <c:v>239.73</c:v>
                </c:pt>
                <c:pt idx="18">
                  <c:v>245.82000000000002</c:v>
                </c:pt>
                <c:pt idx="19">
                  <c:v>246.95</c:v>
                </c:pt>
                <c:pt idx="20">
                  <c:v>241.62</c:v>
                </c:pt>
                <c:pt idx="21">
                  <c:v>246.45999999999998</c:v>
                </c:pt>
                <c:pt idx="22">
                  <c:v>240.28</c:v>
                </c:pt>
                <c:pt idx="23">
                  <c:v>232.72000000000003</c:v>
                </c:pt>
                <c:pt idx="24">
                  <c:v>234.23</c:v>
                </c:pt>
                <c:pt idx="25">
                  <c:v>222.69</c:v>
                </c:pt>
              </c:numCache>
            </c:numRef>
          </c:val>
          <c:smooth val="1"/>
          <c:extLst xmlns:c16r2="http://schemas.microsoft.com/office/drawing/2015/06/chart">
            <c:ext xmlns:c16="http://schemas.microsoft.com/office/drawing/2014/chart" uri="{C3380CC4-5D6E-409C-BE32-E72D297353CC}">
              <c16:uniqueId val="{00000001-02E7-4034-A48E-811E94DEFAD6}"/>
            </c:ext>
          </c:extLst>
        </c:ser>
        <c:dLbls>
          <c:showLegendKey val="0"/>
          <c:showVal val="0"/>
          <c:showCatName val="0"/>
          <c:showSerName val="0"/>
          <c:showPercent val="0"/>
          <c:showBubbleSize val="0"/>
        </c:dLbls>
        <c:marker val="1"/>
        <c:smooth val="0"/>
        <c:axId val="467636992"/>
        <c:axId val="467627008"/>
      </c:lineChart>
      <c:dateAx>
        <c:axId val="4676239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7625472"/>
        <c:crosses val="autoZero"/>
        <c:auto val="0"/>
        <c:lblOffset val="0"/>
        <c:baseTimeUnit val="days"/>
      </c:dateAx>
      <c:valAx>
        <c:axId val="46762547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7623936"/>
        <c:crosses val="autoZero"/>
        <c:crossBetween val="between"/>
      </c:valAx>
      <c:valAx>
        <c:axId val="467627008"/>
        <c:scaling>
          <c:orientation val="minMax"/>
        </c:scaling>
        <c:delete val="0"/>
        <c:axPos val="r"/>
        <c:numFmt formatCode="#,##0_);[Red]\(#,##0\)" sourceLinked="0"/>
        <c:majorTickMark val="out"/>
        <c:minorTickMark val="none"/>
        <c:tickLblPos val="nextTo"/>
        <c:spPr>
          <a:ln w="3175">
            <a:solidFill>
              <a:sysClr val="windowText" lastClr="000000"/>
            </a:solidFill>
          </a:ln>
        </c:spPr>
        <c:crossAx val="467636992"/>
        <c:crosses val="max"/>
        <c:crossBetween val="between"/>
      </c:valAx>
      <c:dateAx>
        <c:axId val="467636992"/>
        <c:scaling>
          <c:orientation val="minMax"/>
        </c:scaling>
        <c:delete val="1"/>
        <c:axPos val="b"/>
        <c:numFmt formatCode="yyyy\-mm\-dd;@" sourceLinked="1"/>
        <c:majorTickMark val="out"/>
        <c:minorTickMark val="none"/>
        <c:tickLblPos val="nextTo"/>
        <c:crossAx val="46762700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E4-47B1-AE10-0EB497ED2C38}"/>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DEE4-47B1-AE10-0EB497ED2C38}"/>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45.12</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DEE4-47B1-AE10-0EB497ED2C38}"/>
            </c:ext>
          </c:extLst>
        </c:ser>
        <c:dLbls>
          <c:showLegendKey val="0"/>
          <c:showVal val="0"/>
          <c:showCatName val="0"/>
          <c:showSerName val="0"/>
          <c:showPercent val="0"/>
          <c:showBubbleSize val="0"/>
        </c:dLbls>
        <c:marker val="1"/>
        <c:smooth val="0"/>
        <c:axId val="467664256"/>
        <c:axId val="481363072"/>
      </c:lineChart>
      <c:dateAx>
        <c:axId val="46766425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81363072"/>
        <c:crosses val="autoZero"/>
        <c:auto val="0"/>
        <c:lblOffset val="0"/>
        <c:baseTimeUnit val="days"/>
        <c:majorUnit val="1"/>
        <c:majorTimeUnit val="months"/>
      </c:dateAx>
      <c:valAx>
        <c:axId val="48136307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67664256"/>
        <c:crosses val="autoZero"/>
        <c:crossBetween val="between"/>
      </c:valAx>
      <c:spPr>
        <a:solidFill>
          <a:schemeClr val="bg1"/>
        </a:solidFill>
        <a:ln>
          <a:noFill/>
        </a:ln>
        <a:effectLst/>
      </c:spPr>
    </c:plotArea>
    <c:legend>
      <c:legendPos val="r"/>
      <c:layout>
        <c:manualLayout>
          <c:xMode val="edge"/>
          <c:yMode val="edge"/>
          <c:x val="0.15225"/>
          <c:y val="2.3337707786526686E-3"/>
          <c:w val="0.71904404579668968"/>
          <c:h val="9.9089145477368704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0.13259</cdr:x>
      <cdr:y>0.06187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397566" cy="11926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CB56B-C1E3-42EF-8CFD-5DB11D079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768</Words>
  <Characters>4384</Characters>
  <Application>Microsoft Office Word</Application>
  <DocSecurity>0</DocSecurity>
  <Lines>36</Lines>
  <Paragraphs>10</Paragraphs>
  <ScaleCrop>false</ScaleCrop>
  <Company>Microsoft</Company>
  <LinksUpToDate>false</LinksUpToDate>
  <CharactersWithSpaces>5142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2021-02-08T07:17:00Z</dcterms:created>
  <dcterms:modified xsi:type="dcterms:W3CDTF">2021-02-08T07:33:00Z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